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9606" w:type="dxa"/>
        <w:jc w:val="center"/>
        <w:tblLook w:val="04A0" w:firstRow="1" w:lastRow="0" w:firstColumn="1" w:lastColumn="0" w:noHBand="0" w:noVBand="1"/>
      </w:tblPr>
      <w:tblGrid>
        <w:gridCol w:w="3889"/>
        <w:gridCol w:w="5717"/>
      </w:tblGrid>
      <w:tr w:rsidR="00A66F28" w:rsidRPr="0054505B" w14:paraId="30196F2B" w14:textId="77777777" w:rsidTr="00A754C5">
        <w:trPr>
          <w:jc w:val="center"/>
        </w:trPr>
        <w:tc>
          <w:tcPr>
            <w:tcW w:w="3889" w:type="dxa"/>
          </w:tcPr>
          <w:p w14:paraId="56E39A7D" w14:textId="77777777" w:rsidR="00A66F28" w:rsidRPr="00441D13" w:rsidRDefault="00CC2958">
            <w:pPr>
              <w:pStyle w:val="Heading1"/>
              <w:rPr>
                <w:rFonts w:ascii="Times New Roman" w:hAnsi="Times New Roman"/>
                <w:b w:val="0"/>
                <w:bCs/>
                <w:i w:val="0"/>
                <w:szCs w:val="26"/>
              </w:rPr>
            </w:pPr>
            <w:r>
              <w:rPr>
                <w:rFonts w:ascii="Times New Roman" w:hAnsi="Times New Roman"/>
                <w:b w:val="0"/>
                <w:i w:val="0"/>
                <w:noProof/>
                <w:szCs w:val="26"/>
              </w:rPr>
              <mc:AlternateContent>
                <mc:Choice Requires="wps">
                  <w:drawing>
                    <wp:anchor distT="0" distB="0" distL="114300" distR="114300" simplePos="0" relativeHeight="251657216" behindDoc="0" locked="0" layoutInCell="0" allowOverlap="1" wp14:anchorId="63664E3C" wp14:editId="66D437D3">
                      <wp:simplePos x="0" y="0"/>
                      <wp:positionH relativeFrom="column">
                        <wp:posOffset>457200</wp:posOffset>
                      </wp:positionH>
                      <wp:positionV relativeFrom="paragraph">
                        <wp:posOffset>434975</wp:posOffset>
                      </wp:positionV>
                      <wp:extent cx="1106805" cy="0"/>
                      <wp:effectExtent l="9525" t="6350" r="7620" b="12700"/>
                      <wp:wrapNone/>
                      <wp:docPr id="2"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0680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5CE47C7" id="Line 5"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pt,34.25pt" to="123.15pt,3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" o:allowincell="f"/>
                  </w:pict>
                </mc:Fallback>
              </mc:AlternateContent>
            </w:r>
            <w:r w:rsidR="00A66F28" w:rsidRPr="00441D13">
              <w:rPr>
                <w:rFonts w:ascii="Times New Roman" w:hAnsi="Times New Roman"/>
                <w:b w:val="0"/>
                <w:i w:val="0"/>
                <w:szCs w:val="26"/>
              </w:rPr>
              <w:t xml:space="preserve">UBND </w:t>
            </w:r>
            <w:r w:rsidR="00A66F28" w:rsidRPr="00441D13">
              <w:rPr>
                <w:rFonts w:ascii="Times New Roman" w:hAnsi="Times New Roman"/>
                <w:b w:val="0"/>
                <w:bCs/>
                <w:i w:val="0"/>
                <w:szCs w:val="26"/>
              </w:rPr>
              <w:t>TỈNH THỪA THIÊN HUẾ</w:t>
            </w:r>
          </w:p>
          <w:p w14:paraId="74AA9DA6" w14:textId="77777777" w:rsidR="00A66F28" w:rsidRPr="0054505B" w:rsidRDefault="00A66F28">
            <w:pPr>
              <w:jc w:val="center"/>
            </w:pPr>
            <w:r w:rsidRPr="00441D13">
              <w:rPr>
                <w:b/>
                <w:sz w:val="26"/>
                <w:szCs w:val="26"/>
              </w:rPr>
              <w:t>SỞ GIÁO DỤC VÀ ĐÀO TẠO</w:t>
            </w:r>
          </w:p>
        </w:tc>
        <w:tc>
          <w:tcPr>
            <w:tcW w:w="5717" w:type="dxa"/>
          </w:tcPr>
          <w:p w14:paraId="506EED41" w14:textId="77777777" w:rsidR="00A66F28" w:rsidRPr="00513E45" w:rsidRDefault="00A66F28">
            <w:pPr>
              <w:pStyle w:val="Heading1"/>
              <w:rPr>
                <w:rFonts w:ascii="Times New Roman" w:hAnsi="Times New Roman"/>
                <w:i w:val="0"/>
                <w:szCs w:val="26"/>
              </w:rPr>
            </w:pPr>
            <w:r w:rsidRPr="00513E45">
              <w:rPr>
                <w:rFonts w:ascii="Times New Roman" w:hAnsi="Times New Roman"/>
                <w:i w:val="0"/>
                <w:szCs w:val="26"/>
              </w:rPr>
              <w:t xml:space="preserve">CỘNG HOÀ XÃ HỘI CHỦ NGHĨA VIỆT </w:t>
            </w:r>
            <w:smartTag w:uri="urn:schemas-microsoft-com:office:smarttags" w:element="place">
              <w:smartTag w:uri="urn:schemas-microsoft-com:office:smarttags" w:element="country-region">
                <w:r w:rsidRPr="00513E45">
                  <w:rPr>
                    <w:rFonts w:ascii="Times New Roman" w:hAnsi="Times New Roman"/>
                    <w:i w:val="0"/>
                    <w:szCs w:val="26"/>
                  </w:rPr>
                  <w:t>NAM</w:t>
                </w:r>
              </w:smartTag>
            </w:smartTag>
          </w:p>
          <w:p w14:paraId="4A90AB82" w14:textId="77777777" w:rsidR="00A66F28" w:rsidRPr="00513E45" w:rsidRDefault="00A66F28">
            <w:pPr>
              <w:jc w:val="center"/>
              <w:rPr>
                <w:b/>
                <w:bCs/>
                <w:sz w:val="26"/>
                <w:szCs w:val="26"/>
              </w:rPr>
            </w:pPr>
            <w:r w:rsidRPr="00513E45">
              <w:rPr>
                <w:b/>
                <w:bCs/>
                <w:sz w:val="26"/>
                <w:szCs w:val="26"/>
              </w:rPr>
              <w:t>Độc lập - Tự do - Hạnh phúc</w:t>
            </w:r>
          </w:p>
          <w:p w14:paraId="2B106C59" w14:textId="77777777" w:rsidR="00A66F28" w:rsidRPr="0054505B" w:rsidRDefault="00CC2958">
            <w:pPr>
              <w:jc w:val="center"/>
            </w:pPr>
            <w:r>
              <w:rPr>
                <w:noProof/>
              </w:rPr>
              <mc:AlternateContent>
                <mc:Choice Requires="wps">
                  <w:drawing>
                    <wp:anchor distT="0" distB="0" distL="114300" distR="114300" simplePos="0" relativeHeight="251658240" behindDoc="0" locked="0" layoutInCell="1" allowOverlap="1" wp14:anchorId="766E864C" wp14:editId="0922F9FD">
                      <wp:simplePos x="0" y="0"/>
                      <wp:positionH relativeFrom="column">
                        <wp:posOffset>779145</wp:posOffset>
                      </wp:positionH>
                      <wp:positionV relativeFrom="paragraph">
                        <wp:posOffset>21590</wp:posOffset>
                      </wp:positionV>
                      <wp:extent cx="1955800" cy="0"/>
                      <wp:effectExtent l="7620" t="12065" r="8255" b="6985"/>
                      <wp:wrapNone/>
                      <wp:docPr id="1"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55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5FCA483" id="Line 8"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1.35pt,1.7pt" to="215.35pt,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"/>
                  </w:pict>
                </mc:Fallback>
              </mc:AlternateContent>
            </w:r>
          </w:p>
        </w:tc>
      </w:tr>
      <w:tr w:rsidR="00A66F28" w:rsidRPr="0054505B" w14:paraId="5F5F4092" w14:textId="77777777" w:rsidTr="00A754C5">
        <w:trPr>
          <w:jc w:val="center"/>
        </w:trPr>
        <w:tc>
          <w:tcPr>
            <w:tcW w:w="3889" w:type="dxa"/>
          </w:tcPr>
          <w:p w14:paraId="5ACAA07B" w14:textId="43515D19" w:rsidR="00A66F28" w:rsidRPr="00272B34" w:rsidRDefault="00A66F28" w:rsidP="009F59E3">
            <w:pPr>
              <w:pStyle w:val="Heading1"/>
              <w:rPr>
                <w:rFonts w:ascii="Times New Roman" w:hAnsi="Times New Roman"/>
                <w:b w:val="0"/>
                <w:i w:val="0"/>
                <w:sz w:val="28"/>
                <w:szCs w:val="26"/>
              </w:rPr>
            </w:pPr>
            <w:r w:rsidRPr="0054505B">
              <w:rPr>
                <w:rFonts w:ascii="Times New Roman" w:hAnsi="Times New Roman"/>
                <w:b w:val="0"/>
                <w:i w:val="0"/>
                <w:sz w:val="28"/>
                <w:szCs w:val="26"/>
              </w:rPr>
              <w:t xml:space="preserve">Số: </w:t>
            </w:r>
            <w:r w:rsidR="00390807">
              <w:rPr>
                <w:rFonts w:ascii="Times New Roman" w:hAnsi="Times New Roman"/>
                <w:b w:val="0"/>
                <w:i w:val="0"/>
                <w:sz w:val="28"/>
                <w:szCs w:val="26"/>
              </w:rPr>
              <w:t xml:space="preserve">          </w:t>
            </w:r>
            <w:r w:rsidRPr="0054505B">
              <w:rPr>
                <w:rFonts w:ascii="Times New Roman" w:hAnsi="Times New Roman"/>
                <w:b w:val="0"/>
                <w:i w:val="0"/>
                <w:sz w:val="28"/>
                <w:szCs w:val="26"/>
              </w:rPr>
              <w:t>/</w:t>
            </w:r>
            <w:r w:rsidR="00272B34">
              <w:rPr>
                <w:rFonts w:ascii="Times New Roman" w:hAnsi="Times New Roman"/>
                <w:b w:val="0"/>
                <w:i w:val="0"/>
                <w:sz w:val="28"/>
                <w:szCs w:val="26"/>
              </w:rPr>
              <w:t>BC-</w:t>
            </w:r>
            <w:r w:rsidRPr="0054505B">
              <w:rPr>
                <w:rFonts w:ascii="Times New Roman" w:hAnsi="Times New Roman"/>
                <w:b w:val="0"/>
                <w:i w:val="0"/>
                <w:sz w:val="28"/>
                <w:szCs w:val="26"/>
              </w:rPr>
              <w:t>SGDĐT</w:t>
            </w:r>
          </w:p>
        </w:tc>
        <w:tc>
          <w:tcPr>
            <w:tcW w:w="5717" w:type="dxa"/>
          </w:tcPr>
          <w:p w14:paraId="2A7B830D" w14:textId="62450964" w:rsidR="00A66F28" w:rsidRPr="0054505B" w:rsidRDefault="00A66F28" w:rsidP="009F59E3">
            <w:pPr>
              <w:pStyle w:val="Heading1"/>
              <w:jc w:val="right"/>
              <w:rPr>
                <w:rFonts w:ascii="Times New Roman" w:hAnsi="Times New Roman"/>
                <w:szCs w:val="26"/>
              </w:rPr>
            </w:pPr>
            <w:r w:rsidRPr="0054505B">
              <w:rPr>
                <w:rFonts w:ascii="Times New Roman" w:hAnsi="Times New Roman"/>
                <w:b w:val="0"/>
                <w:bCs/>
                <w:iCs/>
                <w:sz w:val="28"/>
                <w:szCs w:val="26"/>
              </w:rPr>
              <w:t xml:space="preserve">Thừa Thiên Huế, ngày </w:t>
            </w:r>
            <w:r w:rsidR="00390807">
              <w:rPr>
                <w:rFonts w:ascii="Times New Roman" w:hAnsi="Times New Roman"/>
                <w:b w:val="0"/>
                <w:bCs/>
                <w:iCs/>
                <w:sz w:val="28"/>
                <w:szCs w:val="26"/>
              </w:rPr>
              <w:t xml:space="preserve">     </w:t>
            </w:r>
            <w:r w:rsidR="009F59E3">
              <w:rPr>
                <w:rFonts w:ascii="Times New Roman" w:hAnsi="Times New Roman"/>
                <w:b w:val="0"/>
                <w:bCs/>
                <w:iCs/>
                <w:sz w:val="28"/>
                <w:szCs w:val="26"/>
              </w:rPr>
              <w:t xml:space="preserve"> </w:t>
            </w:r>
            <w:r w:rsidRPr="0054505B">
              <w:rPr>
                <w:rFonts w:ascii="Times New Roman" w:hAnsi="Times New Roman"/>
                <w:b w:val="0"/>
                <w:bCs/>
                <w:iCs/>
                <w:sz w:val="28"/>
                <w:szCs w:val="26"/>
              </w:rPr>
              <w:t xml:space="preserve">tháng </w:t>
            </w:r>
            <w:r w:rsidR="00390807">
              <w:rPr>
                <w:rFonts w:ascii="Times New Roman" w:hAnsi="Times New Roman"/>
                <w:b w:val="0"/>
                <w:bCs/>
                <w:iCs/>
                <w:sz w:val="28"/>
                <w:szCs w:val="26"/>
              </w:rPr>
              <w:t>9</w:t>
            </w:r>
            <w:r w:rsidRPr="0054505B">
              <w:rPr>
                <w:rFonts w:ascii="Times New Roman" w:hAnsi="Times New Roman"/>
                <w:b w:val="0"/>
                <w:bCs/>
                <w:iCs/>
                <w:sz w:val="28"/>
                <w:szCs w:val="26"/>
              </w:rPr>
              <w:t xml:space="preserve">  năm </w:t>
            </w:r>
            <w:r w:rsidR="00C833D0">
              <w:rPr>
                <w:rFonts w:ascii="Times New Roman" w:hAnsi="Times New Roman"/>
                <w:b w:val="0"/>
                <w:bCs/>
                <w:iCs/>
                <w:sz w:val="28"/>
                <w:szCs w:val="26"/>
              </w:rPr>
              <w:t>20</w:t>
            </w:r>
            <w:r w:rsidR="00390807">
              <w:rPr>
                <w:rFonts w:ascii="Times New Roman" w:hAnsi="Times New Roman"/>
                <w:b w:val="0"/>
                <w:bCs/>
                <w:iCs/>
                <w:sz w:val="28"/>
                <w:szCs w:val="26"/>
              </w:rPr>
              <w:t>20</w:t>
            </w:r>
          </w:p>
        </w:tc>
      </w:tr>
    </w:tbl>
    <w:p w14:paraId="643CF961" w14:textId="0440089C" w:rsidR="00A66F28" w:rsidRDefault="00A66F28" w:rsidP="00272B34">
      <w:pPr>
        <w:jc w:val="both"/>
        <w:outlineLvl w:val="0"/>
        <w:rPr>
          <w:b/>
          <w:lang w:val="it-IT"/>
        </w:rPr>
      </w:pPr>
    </w:p>
    <w:p w14:paraId="492AACC2" w14:textId="77777777" w:rsidR="00876B6F" w:rsidRDefault="00876B6F" w:rsidP="00127BF3">
      <w:pPr>
        <w:jc w:val="center"/>
        <w:outlineLvl w:val="0"/>
        <w:rPr>
          <w:b/>
          <w:lang w:val="it-IT"/>
        </w:rPr>
      </w:pPr>
    </w:p>
    <w:p w14:paraId="1237DE00" w14:textId="1A978BF0" w:rsidR="00127BF3" w:rsidRDefault="00127BF3" w:rsidP="00127BF3">
      <w:pPr>
        <w:jc w:val="center"/>
        <w:outlineLvl w:val="0"/>
        <w:rPr>
          <w:b/>
          <w:lang w:val="it-IT"/>
        </w:rPr>
      </w:pPr>
      <w:r>
        <w:rPr>
          <w:b/>
          <w:lang w:val="it-IT"/>
        </w:rPr>
        <w:t>BÁO CÁO TỔNG KẾT</w:t>
      </w:r>
      <w:r w:rsidRPr="00127BF3">
        <w:rPr>
          <w:b/>
          <w:lang w:val="it-IT"/>
        </w:rPr>
        <w:t xml:space="preserve"> </w:t>
      </w:r>
      <w:r>
        <w:rPr>
          <w:b/>
          <w:lang w:val="it-IT"/>
        </w:rPr>
        <w:t>GIÁO DỤC TRUNG HỌC</w:t>
      </w:r>
    </w:p>
    <w:p w14:paraId="044C5EBA" w14:textId="06CC9314" w:rsidR="00272B34" w:rsidRDefault="00272B34" w:rsidP="00272B34">
      <w:pPr>
        <w:jc w:val="center"/>
        <w:outlineLvl w:val="0"/>
        <w:rPr>
          <w:b/>
          <w:lang w:val="it-IT"/>
        </w:rPr>
      </w:pPr>
      <w:r>
        <w:rPr>
          <w:b/>
          <w:lang w:val="it-IT"/>
        </w:rPr>
        <w:t>NĂM HỌC 201</w:t>
      </w:r>
      <w:r w:rsidR="00390807">
        <w:rPr>
          <w:b/>
          <w:lang w:val="it-IT"/>
        </w:rPr>
        <w:t>9</w:t>
      </w:r>
      <w:r>
        <w:rPr>
          <w:b/>
          <w:lang w:val="it-IT"/>
        </w:rPr>
        <w:t>-20</w:t>
      </w:r>
      <w:r w:rsidR="00390807">
        <w:rPr>
          <w:b/>
          <w:lang w:val="it-IT"/>
        </w:rPr>
        <w:t>20</w:t>
      </w:r>
    </w:p>
    <w:p w14:paraId="00DAA5F2" w14:textId="77777777" w:rsidR="00272B34" w:rsidRPr="00272B34" w:rsidRDefault="00272B34" w:rsidP="00272B34">
      <w:pPr>
        <w:jc w:val="both"/>
        <w:outlineLvl w:val="0"/>
        <w:rPr>
          <w:b/>
          <w:bCs/>
          <w:sz w:val="32"/>
          <w:szCs w:val="32"/>
          <w:lang w:val="it-IT"/>
        </w:rPr>
      </w:pPr>
      <w:r>
        <w:rPr>
          <w:b/>
          <w:bCs/>
          <w:noProof/>
          <w:sz w:val="32"/>
          <w:szCs w:val="32"/>
        </w:rPr>
        <mc:AlternateContent>
          <mc:Choice Requires="wps">
            <w:drawing>
              <wp:anchor distT="0" distB="0" distL="114300" distR="114300" simplePos="0" relativeHeight="251659264" behindDoc="0" locked="0" layoutInCell="1" allowOverlap="1" wp14:anchorId="1DDD1370" wp14:editId="453F6FD3">
                <wp:simplePos x="0" y="0"/>
                <wp:positionH relativeFrom="column">
                  <wp:posOffset>2005965</wp:posOffset>
                </wp:positionH>
                <wp:positionV relativeFrom="paragraph">
                  <wp:posOffset>59055</wp:posOffset>
                </wp:positionV>
                <wp:extent cx="1733550" cy="0"/>
                <wp:effectExtent l="0" t="0" r="19050" b="19050"/>
                <wp:wrapNone/>
                <wp:docPr id="3" name="Straight Connector 3"/>
                <wp:cNvGraphicFramePr/>
                <a:graphic xmlns:a="http://schemas.openxmlformats.org/drawingml/2006/main">
                  <a:graphicData uri="http://schemas.microsoft.com/office/word/2010/wordprocessingShape">
                    <wps:wsp>
                      <wps:cNvCnPr/>
                      <wps:spPr>
                        <a:xfrm>
                          <a:off x="0" y="0"/>
                          <a:ext cx="17335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3D03238" id="Straight Connector 3"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7.95pt,4.65pt" to="294.45pt,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" strokecolor="black [3040]"/>
            </w:pict>
          </mc:Fallback>
        </mc:AlternateContent>
      </w:r>
    </w:p>
    <w:p w14:paraId="563264EC" w14:textId="77777777" w:rsidR="00941C2E" w:rsidRPr="00F558A8" w:rsidRDefault="00941C2E" w:rsidP="00C80205">
      <w:pPr>
        <w:tabs>
          <w:tab w:val="left" w:pos="8222"/>
        </w:tabs>
        <w:spacing w:before="120"/>
        <w:ind w:firstLine="709"/>
        <w:jc w:val="both"/>
        <w:rPr>
          <w:sz w:val="27"/>
          <w:szCs w:val="27"/>
          <w:lang w:val="de-DE"/>
        </w:rPr>
      </w:pPr>
      <w:r w:rsidRPr="00F558A8">
        <w:rPr>
          <w:sz w:val="27"/>
          <w:szCs w:val="27"/>
          <w:lang w:val="de-DE"/>
        </w:rPr>
        <w:t>Thực hiện Chỉ thị số 2268/CT-BGDĐT ngày 08/8/2019 của Bộ trưởng Bộ Giáo dục và Đào tạo (GDĐT) về nhiệm vụ và giải pháp năm học 2019-2020 của ngành Giáo dục; Công văn 3892/BGDĐT-GDTrH ngày 28/8/2019 của Bộ GDĐT về việc hướng dẫn thực hiện nhiệm vụ giáo dục trung học (GDTrH) năm học 2019-2020, Sở GDĐT Thừa Thiên Huế báo cáo kết quả thực hiện nhiệm vụ năm học như sau:</w:t>
      </w:r>
    </w:p>
    <w:p w14:paraId="6FFE392D" w14:textId="77777777" w:rsidR="00272B34" w:rsidRPr="00F558A8" w:rsidRDefault="00272B34" w:rsidP="00C80205">
      <w:pPr>
        <w:pStyle w:val="BodyText2"/>
        <w:spacing w:before="120"/>
        <w:ind w:firstLine="709"/>
        <w:rPr>
          <w:rFonts w:ascii="Times New Roman" w:hAnsi="Times New Roman"/>
          <w:b/>
          <w:sz w:val="27"/>
          <w:szCs w:val="27"/>
          <w:lang w:val="de-DE"/>
        </w:rPr>
      </w:pPr>
      <w:r w:rsidRPr="00F558A8">
        <w:rPr>
          <w:rFonts w:ascii="Times New Roman" w:hAnsi="Times New Roman"/>
          <w:b/>
          <w:sz w:val="27"/>
          <w:szCs w:val="27"/>
          <w:lang w:val="de-DE"/>
        </w:rPr>
        <w:t xml:space="preserve">I. </w:t>
      </w:r>
      <w:r w:rsidRPr="00F558A8">
        <w:rPr>
          <w:rFonts w:ascii="Times New Roman" w:hAnsi="Times New Roman"/>
          <w:b/>
          <w:sz w:val="27"/>
          <w:szCs w:val="27"/>
          <w:highlight w:val="white"/>
          <w:lang w:val="pt-BR"/>
        </w:rPr>
        <w:t>Kết quả chỉ đạo và thực hiện nhiệm vụ giáo dục trung học</w:t>
      </w:r>
    </w:p>
    <w:p w14:paraId="06E46099" w14:textId="77777777" w:rsidR="003F614B" w:rsidRPr="00F558A8" w:rsidRDefault="003F614B" w:rsidP="00C80205">
      <w:pPr>
        <w:pStyle w:val="ListParagraph"/>
        <w:widowControl/>
        <w:spacing w:before="120"/>
        <w:ind w:left="0" w:firstLine="709"/>
        <w:rPr>
          <w:b/>
          <w:sz w:val="27"/>
          <w:szCs w:val="27"/>
          <w:lang w:val="it-IT"/>
        </w:rPr>
      </w:pPr>
      <w:r w:rsidRPr="00F558A8">
        <w:rPr>
          <w:b/>
          <w:sz w:val="27"/>
          <w:szCs w:val="27"/>
          <w:lang w:val="it-IT"/>
        </w:rPr>
        <w:t>1. Thực hiện các chương trình, kế hoạch của</w:t>
      </w:r>
      <w:r w:rsidRPr="00F558A8">
        <w:rPr>
          <w:b/>
          <w:spacing w:val="-12"/>
          <w:sz w:val="27"/>
          <w:szCs w:val="27"/>
          <w:lang w:val="it-IT"/>
        </w:rPr>
        <w:t xml:space="preserve"> </w:t>
      </w:r>
      <w:r w:rsidRPr="00F558A8">
        <w:rPr>
          <w:b/>
          <w:sz w:val="27"/>
          <w:szCs w:val="27"/>
          <w:lang w:val="it-IT"/>
        </w:rPr>
        <w:t>ngành</w:t>
      </w:r>
    </w:p>
    <w:p w14:paraId="025A7AC5" w14:textId="257BF391" w:rsidR="003F614B" w:rsidRPr="00F558A8" w:rsidRDefault="003F614B" w:rsidP="00C80205">
      <w:pPr>
        <w:pStyle w:val="BodyText"/>
        <w:spacing w:after="0"/>
        <w:ind w:firstLine="720"/>
        <w:jc w:val="both"/>
        <w:rPr>
          <w:sz w:val="27"/>
          <w:szCs w:val="27"/>
        </w:rPr>
      </w:pPr>
      <w:r w:rsidRPr="00F558A8">
        <w:rPr>
          <w:sz w:val="27"/>
          <w:szCs w:val="27"/>
        </w:rPr>
        <w:t>Sở GDĐT đã tích cực triển khai thực hiện Nghị quyết số 29-NQ/TW ngày 04/11/2013 Hội nghị lần thứ tám Ban Chấp hành Trung ương khóa XI về đổi mới căn bản, toàn diện giáo dục và đào tạo</w:t>
      </w:r>
      <w:r w:rsidR="00F558A8" w:rsidRPr="00F558A8">
        <w:rPr>
          <w:sz w:val="27"/>
          <w:szCs w:val="27"/>
        </w:rPr>
        <w:t>,</w:t>
      </w:r>
      <w:r w:rsidRPr="00F558A8">
        <w:rPr>
          <w:sz w:val="27"/>
          <w:szCs w:val="27"/>
        </w:rPr>
        <w:t xml:space="preserve"> Chương trình hành động của Bộ GDĐT thực hiện Nghị quyết số 29-NQ/TW</w:t>
      </w:r>
      <w:r w:rsidR="00F558A8" w:rsidRPr="00F558A8">
        <w:rPr>
          <w:sz w:val="27"/>
          <w:szCs w:val="27"/>
        </w:rPr>
        <w:t>,</w:t>
      </w:r>
      <w:r w:rsidRPr="00F558A8">
        <w:rPr>
          <w:sz w:val="27"/>
          <w:szCs w:val="27"/>
        </w:rPr>
        <w:t xml:space="preserve"> Nghị quyết số 88/2014/QH13 của Quốc hội khóa </w:t>
      </w:r>
      <w:r w:rsidR="00B33591" w:rsidRPr="00F558A8">
        <w:rPr>
          <w:sz w:val="27"/>
          <w:szCs w:val="27"/>
        </w:rPr>
        <w:t>XIII</w:t>
      </w:r>
      <w:r w:rsidRPr="00F558A8">
        <w:rPr>
          <w:sz w:val="27"/>
          <w:szCs w:val="27"/>
        </w:rPr>
        <w:t xml:space="preserve"> về đổi mới chương trình, sách giáo khoa giáo dục phổ thông; </w:t>
      </w:r>
      <w:r w:rsidR="00F558A8" w:rsidRPr="00F558A8">
        <w:rPr>
          <w:sz w:val="27"/>
          <w:szCs w:val="27"/>
        </w:rPr>
        <w:t>t</w:t>
      </w:r>
      <w:r w:rsidR="00941C2E" w:rsidRPr="00F558A8">
        <w:rPr>
          <w:sz w:val="27"/>
          <w:szCs w:val="27"/>
        </w:rPr>
        <w:t xml:space="preserve">ham mưu UBND tỉnh </w:t>
      </w:r>
      <w:r w:rsidR="00941C2E" w:rsidRPr="00F558A8">
        <w:rPr>
          <w:color w:val="000000" w:themeColor="text1"/>
          <w:sz w:val="27"/>
          <w:szCs w:val="27"/>
        </w:rPr>
        <w:t xml:space="preserve">Kế hoạch 35/KH-UBND ngày 15/02/2020 về việc triển khai thực hiện Chương trình giáo dục phổ thông năm 2018 trên địa bàn tỉnh Thừa Thiên Huế, Kế hoạch số 36/KH-UBND ngày 15/02/2020 biên soạn và tổ chức thực hiện nội dung giáo dục địa phương trong chương trình giáo dục phổ thông; </w:t>
      </w:r>
      <w:r w:rsidRPr="00F558A8">
        <w:rPr>
          <w:sz w:val="27"/>
          <w:szCs w:val="27"/>
        </w:rPr>
        <w:t>chú trọng rèn luyện phẩm chất chính trị, đạo đức lối sống</w:t>
      </w:r>
      <w:r w:rsidR="00CF0A55" w:rsidRPr="00F558A8">
        <w:rPr>
          <w:sz w:val="27"/>
          <w:szCs w:val="27"/>
        </w:rPr>
        <w:t>, nâng cao nhận thức</w:t>
      </w:r>
      <w:r w:rsidRPr="00F558A8">
        <w:rPr>
          <w:sz w:val="27"/>
          <w:szCs w:val="27"/>
        </w:rPr>
        <w:t xml:space="preserve"> của cán bộ quản lý, giáo viên, nhân viên và học sinh; thực hiện các cuộc vận động, các phong trào thi đua của ngành bằng những việc làm thiết thực, hiệu quả, phù hợp điều kiện địa phương, gắn với việc đổi mới hoạt động giáo dục của nhà</w:t>
      </w:r>
      <w:r w:rsidRPr="00F558A8">
        <w:rPr>
          <w:spacing w:val="-5"/>
          <w:sz w:val="27"/>
          <w:szCs w:val="27"/>
        </w:rPr>
        <w:t xml:space="preserve"> </w:t>
      </w:r>
      <w:r w:rsidRPr="00F558A8">
        <w:rPr>
          <w:sz w:val="27"/>
          <w:szCs w:val="27"/>
        </w:rPr>
        <w:t>trường.</w:t>
      </w:r>
      <w:r w:rsidR="00941C2E" w:rsidRPr="00F558A8">
        <w:rPr>
          <w:sz w:val="27"/>
          <w:szCs w:val="27"/>
        </w:rPr>
        <w:t xml:space="preserve"> </w:t>
      </w:r>
    </w:p>
    <w:p w14:paraId="642478FC" w14:textId="77777777" w:rsidR="00B33591" w:rsidRPr="00F558A8" w:rsidRDefault="00B33591" w:rsidP="00C80205">
      <w:pPr>
        <w:pStyle w:val="BodyText2"/>
        <w:spacing w:before="120"/>
        <w:ind w:firstLine="709"/>
        <w:rPr>
          <w:rFonts w:ascii="Times New Roman" w:hAnsi="Times New Roman"/>
          <w:b/>
          <w:sz w:val="27"/>
          <w:szCs w:val="27"/>
          <w:highlight w:val="white"/>
        </w:rPr>
      </w:pPr>
      <w:r w:rsidRPr="00F558A8">
        <w:rPr>
          <w:rFonts w:ascii="Times New Roman" w:hAnsi="Times New Roman"/>
          <w:b/>
          <w:sz w:val="27"/>
          <w:szCs w:val="27"/>
          <w:highlight w:val="white"/>
        </w:rPr>
        <w:t xml:space="preserve">2. </w:t>
      </w:r>
      <w:r w:rsidRPr="00F558A8">
        <w:rPr>
          <w:rFonts w:ascii="Times New Roman" w:hAnsi="Times New Roman"/>
          <w:b/>
          <w:color w:val="000000"/>
          <w:sz w:val="27"/>
          <w:szCs w:val="27"/>
          <w:highlight w:val="white"/>
        </w:rPr>
        <w:t>Tình hình và kết quả c</w:t>
      </w:r>
      <w:r w:rsidRPr="00F558A8">
        <w:rPr>
          <w:rFonts w:ascii="Times New Roman" w:hAnsi="Times New Roman"/>
          <w:b/>
          <w:color w:val="000000"/>
          <w:spacing w:val="-4"/>
          <w:sz w:val="27"/>
          <w:szCs w:val="27"/>
          <w:highlight w:val="white"/>
          <w:lang w:val="pt-BR"/>
        </w:rPr>
        <w:t xml:space="preserve">ông tác chỉ đạo, tổ chức </w:t>
      </w:r>
      <w:r w:rsidRPr="00F558A8">
        <w:rPr>
          <w:rFonts w:ascii="Times New Roman" w:hAnsi="Times New Roman"/>
          <w:b/>
          <w:color w:val="000000"/>
          <w:spacing w:val="-4"/>
          <w:sz w:val="27"/>
          <w:szCs w:val="27"/>
          <w:lang w:val="pt-BR"/>
        </w:rPr>
        <w:t xml:space="preserve">và quản lý </w:t>
      </w:r>
      <w:r w:rsidRPr="00F558A8">
        <w:rPr>
          <w:rFonts w:ascii="Times New Roman" w:hAnsi="Times New Roman"/>
          <w:b/>
          <w:color w:val="000000"/>
          <w:spacing w:val="-4"/>
          <w:sz w:val="27"/>
          <w:szCs w:val="27"/>
          <w:highlight w:val="white"/>
          <w:lang w:val="pt-BR"/>
        </w:rPr>
        <w:t>hoạt động chuyên môn trong trường trung học theo định hướng phát triển phẩm chất và năng lực học sinh</w:t>
      </w:r>
    </w:p>
    <w:p w14:paraId="0E5E33C8" w14:textId="77777777" w:rsidR="00794352" w:rsidRPr="00F558A8" w:rsidRDefault="00B33591" w:rsidP="00C80205">
      <w:pPr>
        <w:pStyle w:val="BodyText2"/>
        <w:ind w:firstLine="709"/>
        <w:rPr>
          <w:rFonts w:ascii="Times New Roman" w:hAnsi="Times New Roman"/>
          <w:b/>
          <w:bCs/>
          <w:color w:val="000000"/>
          <w:sz w:val="27"/>
          <w:szCs w:val="27"/>
          <w:highlight w:val="white"/>
          <w:lang w:val="pt-BR"/>
        </w:rPr>
      </w:pPr>
      <w:r w:rsidRPr="00F558A8">
        <w:rPr>
          <w:rFonts w:ascii="Times New Roman" w:hAnsi="Times New Roman"/>
          <w:b/>
          <w:sz w:val="27"/>
          <w:szCs w:val="27"/>
          <w:highlight w:val="white"/>
          <w:lang w:val="pt-BR"/>
        </w:rPr>
        <w:t xml:space="preserve">2.1. </w:t>
      </w:r>
      <w:r w:rsidR="00794352" w:rsidRPr="00F558A8">
        <w:rPr>
          <w:rFonts w:ascii="Times New Roman" w:hAnsi="Times New Roman"/>
          <w:b/>
          <w:bCs/>
          <w:color w:val="000000"/>
          <w:sz w:val="27"/>
          <w:szCs w:val="27"/>
          <w:highlight w:val="white"/>
          <w:lang w:val="pt-BR"/>
        </w:rPr>
        <w:t>Tình hình và kết quả triển khai thực hiện Công văn số 4612/BGDĐT-GDTrH ngày 03/10/2017 về việc hướng dẫn thực hiện chương trình giáo dục phổ thông hiện hành theo định hướng phát triển phẩm chất và năng lực học sinh.</w:t>
      </w:r>
    </w:p>
    <w:p w14:paraId="4EF532AF" w14:textId="24451D25" w:rsidR="00794352" w:rsidRPr="00F558A8" w:rsidRDefault="00794352" w:rsidP="00C80205">
      <w:pPr>
        <w:ind w:firstLine="709"/>
        <w:jc w:val="both"/>
        <w:rPr>
          <w:sz w:val="27"/>
          <w:szCs w:val="27"/>
        </w:rPr>
      </w:pPr>
      <w:r w:rsidRPr="00F558A8">
        <w:rPr>
          <w:sz w:val="27"/>
          <w:szCs w:val="27"/>
          <w:lang w:val="pt-BR"/>
        </w:rPr>
        <w:t xml:space="preserve">Chỉ đạo các trường THPT trực thuộc, các phòng GDĐT (chỉ đạo các trường THCS) các nội dung: xây dựng kế hoạch tổ chức, triển khai thực hiện nhiệm vụ giáo dục trung học, chỉ đạo các tổ chuyên môn rà soát nội dung dạy học, điều chỉnh, bổ sung, cập nhật thông tin mới; </w:t>
      </w:r>
      <w:r w:rsidRPr="00F558A8">
        <w:rPr>
          <w:sz w:val="27"/>
          <w:szCs w:val="27"/>
        </w:rPr>
        <w:t>chỉ đạo các tổ chuyên môn, giáo viên được chủ động lựa chọn nội dung, xây dựng các chủ đề dạy học trong mỗi môn học và các chủ đề tích hợp, liên môn, đồng thời xây dựng kế hoạch dạy học phù hợp với các chủ đề và theo hình thức, phương pháp và kỹ thuật dạy học tích cực.</w:t>
      </w:r>
    </w:p>
    <w:p w14:paraId="2FA631CD" w14:textId="49D6B25D" w:rsidR="00794352" w:rsidRPr="00F558A8" w:rsidRDefault="00794352" w:rsidP="00C80205">
      <w:pPr>
        <w:pStyle w:val="BodyText"/>
        <w:spacing w:after="0"/>
        <w:ind w:firstLine="709"/>
        <w:jc w:val="both"/>
        <w:rPr>
          <w:sz w:val="27"/>
          <w:szCs w:val="27"/>
          <w:lang w:val="af-ZA"/>
        </w:rPr>
      </w:pPr>
      <w:r w:rsidRPr="00F558A8">
        <w:rPr>
          <w:sz w:val="27"/>
          <w:szCs w:val="27"/>
          <w:lang w:val="af-ZA"/>
        </w:rPr>
        <w:lastRenderedPageBreak/>
        <w:t>Chỉ đạo đ</w:t>
      </w:r>
      <w:r w:rsidRPr="00F558A8">
        <w:rPr>
          <w:sz w:val="27"/>
          <w:szCs w:val="27"/>
          <w:lang w:val="vi-VN"/>
        </w:rPr>
        <w:t xml:space="preserve">ổi mới sinh hoạt tổ chuyên môn, tăng cường theo hướng nghiên cứu nội dung bài </w:t>
      </w:r>
      <w:r w:rsidRPr="00F558A8">
        <w:rPr>
          <w:sz w:val="27"/>
          <w:szCs w:val="27"/>
        </w:rPr>
        <w:t>học</w:t>
      </w:r>
      <w:r w:rsidRPr="00F558A8">
        <w:rPr>
          <w:sz w:val="27"/>
          <w:szCs w:val="27"/>
          <w:lang w:val="vi-VN"/>
        </w:rPr>
        <w:t xml:space="preserve">; </w:t>
      </w:r>
      <w:r w:rsidRPr="00F558A8">
        <w:rPr>
          <w:sz w:val="27"/>
          <w:szCs w:val="27"/>
        </w:rPr>
        <w:t xml:space="preserve">chỉ đạo </w:t>
      </w:r>
      <w:r w:rsidRPr="00F558A8">
        <w:rPr>
          <w:sz w:val="27"/>
          <w:szCs w:val="27"/>
          <w:lang w:val="pt-BR"/>
        </w:rPr>
        <w:t xml:space="preserve">các tổ chuyên môn căn cứ vào chương trình và sách giáo khoa hiện hành, lựa chọn nội dung để xây dựng các chủ đề dạy học, phù hợp với việc sử dụng phương pháp dạy học tích cực trong điều kiện thực tế của nhà trường; </w:t>
      </w:r>
      <w:r w:rsidRPr="00F558A8">
        <w:rPr>
          <w:sz w:val="27"/>
          <w:szCs w:val="27"/>
          <w:lang w:val="vi-VN"/>
        </w:rPr>
        <w:t>trao đổi, thảo luận về các chủ đề</w:t>
      </w:r>
      <w:r w:rsidRPr="00F558A8">
        <w:rPr>
          <w:sz w:val="27"/>
          <w:szCs w:val="27"/>
          <w:lang w:val="pt-BR"/>
        </w:rPr>
        <w:t xml:space="preserve"> dạy học tích hợp liên môn</w:t>
      </w:r>
      <w:r w:rsidRPr="00F558A8">
        <w:rPr>
          <w:sz w:val="27"/>
          <w:szCs w:val="27"/>
          <w:lang w:val="vi-VN"/>
        </w:rPr>
        <w:t>, nội dung giảng dạy, rút kinh nghiệm, tháo gỡ những khó khăn vướng mắc gặp phải trong giảng dạy...</w:t>
      </w:r>
    </w:p>
    <w:p w14:paraId="15D1513A" w14:textId="3458CDD4" w:rsidR="00794352" w:rsidRPr="00F558A8" w:rsidRDefault="00794352" w:rsidP="00C80205">
      <w:pPr>
        <w:ind w:firstLine="709"/>
        <w:jc w:val="both"/>
        <w:rPr>
          <w:sz w:val="27"/>
          <w:szCs w:val="27"/>
        </w:rPr>
      </w:pPr>
      <w:r w:rsidRPr="00F558A8">
        <w:rPr>
          <w:sz w:val="27"/>
          <w:szCs w:val="27"/>
        </w:rPr>
        <w:t>Chỉ đạo xây dựng kế hoạch bài dạy theo phương pháp và kỹ thuật dạy học tích cực và thao giảng 01 tiết/HK/GV.</w:t>
      </w:r>
    </w:p>
    <w:p w14:paraId="1A25EA0D" w14:textId="32B00359" w:rsidR="00794352" w:rsidRPr="00F558A8" w:rsidRDefault="00794352" w:rsidP="00C80205">
      <w:pPr>
        <w:pStyle w:val="BodyText"/>
        <w:spacing w:after="0"/>
        <w:ind w:firstLine="709"/>
        <w:jc w:val="both"/>
        <w:rPr>
          <w:sz w:val="27"/>
          <w:szCs w:val="27"/>
          <w:lang w:val="pt-BR"/>
        </w:rPr>
      </w:pPr>
      <w:r w:rsidRPr="00F558A8">
        <w:rPr>
          <w:sz w:val="27"/>
          <w:szCs w:val="27"/>
          <w:lang w:val="pt-BR"/>
        </w:rPr>
        <w:t>Tiếp tục t</w:t>
      </w:r>
      <w:r w:rsidRPr="00F558A8">
        <w:rPr>
          <w:sz w:val="27"/>
          <w:szCs w:val="27"/>
          <w:lang w:val="vi-VN"/>
        </w:rPr>
        <w:t xml:space="preserve">hực hiện tích hợp giáo dục đạo đức, học tập và làm theo tấm gương đạo đức Hồ Chí Minh; giáo dục pháp luật; giáo dục phòng chống tham nhũng; giáo dục an toàn giao thông; </w:t>
      </w:r>
      <w:r w:rsidRPr="00F558A8">
        <w:rPr>
          <w:sz w:val="27"/>
          <w:szCs w:val="27"/>
        </w:rPr>
        <w:t xml:space="preserve">tổ chức </w:t>
      </w:r>
      <w:r w:rsidRPr="00F558A8">
        <w:rPr>
          <w:sz w:val="27"/>
          <w:szCs w:val="27"/>
          <w:lang w:val="vi-VN"/>
        </w:rPr>
        <w:t xml:space="preserve">học tập thông qua di sản, </w:t>
      </w:r>
      <w:r w:rsidRPr="00F558A8">
        <w:rPr>
          <w:sz w:val="27"/>
          <w:szCs w:val="27"/>
        </w:rPr>
        <w:t xml:space="preserve">tham quan </w:t>
      </w:r>
      <w:r w:rsidRPr="00F558A8">
        <w:rPr>
          <w:sz w:val="27"/>
          <w:szCs w:val="27"/>
          <w:lang w:val="vi-VN"/>
        </w:rPr>
        <w:t>cơ sở sản xuất</w:t>
      </w:r>
      <w:r w:rsidRPr="00F558A8">
        <w:rPr>
          <w:sz w:val="27"/>
          <w:szCs w:val="27"/>
          <w:lang w:val="pt-BR"/>
        </w:rPr>
        <w:t xml:space="preserve"> định hướng nghề nghiệp cho học sinh.</w:t>
      </w:r>
    </w:p>
    <w:p w14:paraId="3B90AF3E" w14:textId="5114E0AF" w:rsidR="00794352" w:rsidRPr="00F558A8" w:rsidRDefault="00794352" w:rsidP="00C80205">
      <w:pPr>
        <w:pStyle w:val="BodyText"/>
        <w:spacing w:after="0"/>
        <w:ind w:firstLine="709"/>
        <w:jc w:val="both"/>
        <w:rPr>
          <w:sz w:val="27"/>
          <w:szCs w:val="27"/>
        </w:rPr>
      </w:pPr>
      <w:r w:rsidRPr="00F558A8">
        <w:rPr>
          <w:sz w:val="27"/>
          <w:szCs w:val="27"/>
          <w:lang w:val="pt-BR"/>
        </w:rPr>
        <w:t>C</w:t>
      </w:r>
      <w:r w:rsidRPr="00F558A8">
        <w:rPr>
          <w:sz w:val="27"/>
          <w:szCs w:val="27"/>
          <w:lang w:val="vi-VN"/>
        </w:rPr>
        <w:t>hú trọng tuyên truyền, giáo dục chủ quyền quốc gia về biên giới, biển đảo; sử dụng năng lượng tiết kiệm và hiệu quả; bảo vệ môi trường; đa dạng sinh học và bảo tồn thiên nhiên; giáo dục về tài nguyên và môi trường biển, hải đảo; ứng phó với biến đổi khí hậu, phòng tránh và giảm nhẹ thiên tai</w:t>
      </w:r>
      <w:r w:rsidRPr="00F558A8">
        <w:rPr>
          <w:sz w:val="27"/>
          <w:szCs w:val="27"/>
        </w:rPr>
        <w:t>. Kết quả: 100% các trường đã có những hoạt động giáo dục về biển đảo quê hương; Công tác tuyên truyền, các hoạt động giáo dục về quản lý, bảo vệ và phát triển bền vững biển, đảo và đầm phá đa dạng phong phú, được phổ biến sâu rộng đối với giáo viên và học sinh.</w:t>
      </w:r>
    </w:p>
    <w:p w14:paraId="396DED61" w14:textId="77C4DC99" w:rsidR="00B33591" w:rsidRPr="00F558A8" w:rsidRDefault="00794352" w:rsidP="00C80205">
      <w:pPr>
        <w:pStyle w:val="BodyText2"/>
        <w:ind w:firstLine="720"/>
        <w:rPr>
          <w:rFonts w:ascii="Times New Roman" w:hAnsi="Times New Roman"/>
          <w:color w:val="FF0000"/>
          <w:sz w:val="27"/>
          <w:szCs w:val="27"/>
          <w:lang w:val="af-ZA"/>
        </w:rPr>
      </w:pPr>
      <w:r w:rsidRPr="00F558A8">
        <w:rPr>
          <w:rFonts w:ascii="Times New Roman" w:hAnsi="Times New Roman"/>
          <w:sz w:val="27"/>
          <w:szCs w:val="27"/>
          <w:lang w:val="af-ZA"/>
        </w:rPr>
        <w:t xml:space="preserve">Thành lập Đoàn kiểm tra thực hiện nhiệm vụ giáo dục trung học tại các trường trung học trên địa bàn tỉnh từ giữa học kỳ I năm học 2019-2020, trong đó chú ý đến việc </w:t>
      </w:r>
      <w:r w:rsidRPr="00F558A8">
        <w:rPr>
          <w:rFonts w:ascii="Times New Roman" w:hAnsi="Times New Roman"/>
          <w:color w:val="000000"/>
          <w:sz w:val="27"/>
          <w:szCs w:val="27"/>
        </w:rPr>
        <w:t xml:space="preserve">thực hiện linh hoạt, sáng tạo chương trình, kế hoạch giáo dục, kế hoạch kiểm tra, đánh giá kết quả học tập của học sinh. Trong học kỳ II sau khi học sinh đi học trở lại (học sinh nghỉ học do dịch Covid 19), Sở GDĐT tiếp tục kiểm tra việc xây dựng kế hoạch dạy học của các tổ chuyên môn thực hiện theo </w:t>
      </w:r>
      <w:r w:rsidRPr="00F558A8">
        <w:rPr>
          <w:rFonts w:ascii="Times New Roman" w:hAnsi="Times New Roman"/>
          <w:noProof/>
          <w:sz w:val="27"/>
          <w:szCs w:val="27"/>
          <w:lang w:val="vi-VN"/>
        </w:rPr>
        <w:t>Công văn số 1113/BGDĐT-GDTrH ngày 30/3/2020 của Bộ Giáo dục và Đào tạo</w:t>
      </w:r>
      <w:r w:rsidRPr="00F558A8">
        <w:rPr>
          <w:rFonts w:ascii="Times New Roman" w:hAnsi="Times New Roman"/>
          <w:noProof/>
          <w:sz w:val="27"/>
          <w:szCs w:val="27"/>
        </w:rPr>
        <w:t xml:space="preserve"> </w:t>
      </w:r>
      <w:r w:rsidRPr="00F558A8">
        <w:rPr>
          <w:rFonts w:ascii="Times New Roman" w:hAnsi="Times New Roman"/>
          <w:noProof/>
          <w:sz w:val="27"/>
          <w:szCs w:val="27"/>
          <w:lang w:val="vi-VN"/>
        </w:rPr>
        <w:t xml:space="preserve">về việc hướng dẫn thực hiện điều chỉnh nội dung dạy học học kỳ </w:t>
      </w:r>
      <w:r w:rsidRPr="00F558A8">
        <w:rPr>
          <w:rFonts w:ascii="Times New Roman" w:hAnsi="Times New Roman"/>
          <w:noProof/>
          <w:sz w:val="27"/>
          <w:szCs w:val="27"/>
        </w:rPr>
        <w:t>2</w:t>
      </w:r>
      <w:r w:rsidRPr="00F558A8">
        <w:rPr>
          <w:rFonts w:ascii="Times New Roman" w:hAnsi="Times New Roman"/>
          <w:noProof/>
          <w:sz w:val="27"/>
          <w:szCs w:val="27"/>
          <w:lang w:val="vi-VN"/>
        </w:rPr>
        <w:t xml:space="preserve"> năm học 2019-2020</w:t>
      </w:r>
      <w:r w:rsidRPr="00F558A8">
        <w:rPr>
          <w:rFonts w:ascii="Times New Roman" w:hAnsi="Times New Roman"/>
          <w:noProof/>
          <w:sz w:val="27"/>
          <w:szCs w:val="27"/>
        </w:rPr>
        <w:t xml:space="preserve"> đối với cấp THCS và cấp THPT; đặc biệt </w:t>
      </w:r>
      <w:r w:rsidRPr="00F558A8">
        <w:rPr>
          <w:rFonts w:ascii="Times New Roman" w:hAnsi="Times New Roman"/>
          <w:color w:val="000000"/>
          <w:sz w:val="27"/>
          <w:szCs w:val="27"/>
        </w:rPr>
        <w:t>công tác ôn tập, hoàn thành chương trình, chuẩn bị cho kỳ thi tốt nghiệp THPT năm 2020 tại các trường THPT.</w:t>
      </w:r>
    </w:p>
    <w:p w14:paraId="106D51D8" w14:textId="77777777" w:rsidR="00794352" w:rsidRPr="00F558A8" w:rsidRDefault="00B33591" w:rsidP="00C80205">
      <w:pPr>
        <w:ind w:firstLine="709"/>
        <w:jc w:val="both"/>
        <w:rPr>
          <w:b/>
          <w:bCs/>
          <w:color w:val="000000"/>
          <w:sz w:val="27"/>
          <w:szCs w:val="27"/>
          <w:highlight w:val="white"/>
          <w:lang w:val="pt-BR"/>
        </w:rPr>
      </w:pPr>
      <w:r w:rsidRPr="00F558A8">
        <w:rPr>
          <w:b/>
          <w:sz w:val="27"/>
          <w:szCs w:val="27"/>
          <w:highlight w:val="white"/>
          <w:lang w:val="pt-BR"/>
        </w:rPr>
        <w:t xml:space="preserve">2.2. </w:t>
      </w:r>
      <w:r w:rsidR="00794352" w:rsidRPr="00F558A8">
        <w:rPr>
          <w:b/>
          <w:bCs/>
          <w:color w:val="000000"/>
          <w:sz w:val="27"/>
          <w:szCs w:val="27"/>
          <w:highlight w:val="white"/>
          <w:lang w:val="pt-BR"/>
        </w:rPr>
        <w:t>Tình hình và kết quả đổi mới phương pháp, hình thức dạy học và kiểm tra, đánh giá theo định hướng phát triển phẩm chất và năng lực học sinh; các mô hình tổ chức các hoạt động giáo dục sáng tạo của địa phương.</w:t>
      </w:r>
    </w:p>
    <w:p w14:paraId="54E5787D" w14:textId="77777777" w:rsidR="00794352" w:rsidRPr="00F558A8" w:rsidRDefault="00794352" w:rsidP="00C80205">
      <w:pPr>
        <w:pStyle w:val="BodyText2"/>
        <w:ind w:firstLine="709"/>
        <w:rPr>
          <w:rFonts w:ascii="Times New Roman" w:hAnsi="Times New Roman"/>
          <w:b/>
          <w:color w:val="000000"/>
          <w:sz w:val="27"/>
          <w:szCs w:val="27"/>
          <w:lang w:val="pt-BR"/>
        </w:rPr>
      </w:pPr>
      <w:r w:rsidRPr="00F558A8">
        <w:rPr>
          <w:rFonts w:ascii="Times New Roman" w:hAnsi="Times New Roman"/>
          <w:b/>
          <w:color w:val="000000"/>
          <w:sz w:val="27"/>
          <w:szCs w:val="27"/>
          <w:highlight w:val="white"/>
          <w:lang w:val="pt-BR"/>
        </w:rPr>
        <w:t>Tình hình và kết quả đổi mới phương pháp, hình thức dạy học theo định hướng phát triển phẩm chất và năng lực học sinh</w:t>
      </w:r>
    </w:p>
    <w:p w14:paraId="6685CC87" w14:textId="0673496B" w:rsidR="00794352" w:rsidRPr="00F558A8" w:rsidRDefault="00794352" w:rsidP="00A7369C">
      <w:pPr>
        <w:ind w:firstLine="709"/>
        <w:jc w:val="both"/>
        <w:rPr>
          <w:sz w:val="27"/>
          <w:szCs w:val="27"/>
          <w:lang w:val="pt-BR"/>
        </w:rPr>
      </w:pPr>
      <w:r w:rsidRPr="00F558A8">
        <w:rPr>
          <w:sz w:val="27"/>
          <w:szCs w:val="27"/>
          <w:lang w:val="af-ZA"/>
        </w:rPr>
        <w:t xml:space="preserve">Hướng dẫn các trường trung học chỉ đạo các tổ chuyên môn, giáo viên được chủ động lựa chọn nội dung, xây dựng các chủ đề dạy học trong mỗi môn học và các chủ đề tích hợp, liên môn, đồng thời xây dựng kế hoạch dạy học phù hợp với các chủ đề và theo hình thức, phương pháp và kĩ thuật dạy học tích cực. Giao trách nhiệm lãnh đạo nhà trường trong việc phê duyệt kế hoạch, chương trình giáo dục, kiểm tra, giám sát quá trình thực hiện. </w:t>
      </w:r>
      <w:r w:rsidRPr="00F558A8">
        <w:rPr>
          <w:sz w:val="27"/>
          <w:szCs w:val="27"/>
          <w:lang w:val="pt-BR"/>
        </w:rPr>
        <w:t>Chỉ đạo các trường trung học xây dựng và dạy học 2 chủ đề tích hợp/môn/học kỳ.</w:t>
      </w:r>
    </w:p>
    <w:p w14:paraId="36043FB8" w14:textId="5C2C6CE4" w:rsidR="00794352" w:rsidRPr="00F558A8" w:rsidRDefault="00794352" w:rsidP="00C80205">
      <w:pPr>
        <w:tabs>
          <w:tab w:val="left" w:pos="8222"/>
        </w:tabs>
        <w:ind w:firstLine="709"/>
        <w:jc w:val="both"/>
        <w:rPr>
          <w:bCs/>
          <w:iCs/>
          <w:sz w:val="27"/>
          <w:szCs w:val="27"/>
          <w:lang w:val="de-DE"/>
        </w:rPr>
      </w:pPr>
      <w:r w:rsidRPr="00F558A8">
        <w:rPr>
          <w:bCs/>
          <w:iCs/>
          <w:sz w:val="27"/>
          <w:szCs w:val="27"/>
          <w:lang w:val="de-DE"/>
        </w:rPr>
        <w:t xml:space="preserve">Chỉ đạo đổi mới hình thức tổ chức dạy học, chú trọng kỹ năng thực hành. </w:t>
      </w:r>
      <w:r w:rsidRPr="00F558A8">
        <w:rPr>
          <w:sz w:val="27"/>
          <w:szCs w:val="27"/>
          <w:lang w:val="pt-BR"/>
        </w:rPr>
        <w:t xml:space="preserve">Chỉ đạo các trường trung học </w:t>
      </w:r>
      <w:r w:rsidRPr="00F558A8">
        <w:rPr>
          <w:sz w:val="27"/>
          <w:szCs w:val="27"/>
          <w:lang w:val="vi-VN"/>
        </w:rPr>
        <w:t xml:space="preserve">tổ chức </w:t>
      </w:r>
      <w:r w:rsidRPr="00F558A8">
        <w:rPr>
          <w:sz w:val="27"/>
          <w:szCs w:val="27"/>
        </w:rPr>
        <w:t xml:space="preserve">các hoạt động ngoại khóa, </w:t>
      </w:r>
      <w:r w:rsidRPr="00F558A8">
        <w:rPr>
          <w:sz w:val="27"/>
          <w:szCs w:val="27"/>
          <w:lang w:val="pt-BR"/>
        </w:rPr>
        <w:t xml:space="preserve">trải nghiệm, </w:t>
      </w:r>
      <w:r w:rsidRPr="00F558A8">
        <w:rPr>
          <w:sz w:val="27"/>
          <w:szCs w:val="27"/>
          <w:lang w:val="vi-VN"/>
        </w:rPr>
        <w:t xml:space="preserve">học tập thông qua di sản, </w:t>
      </w:r>
      <w:r w:rsidRPr="00F558A8">
        <w:rPr>
          <w:sz w:val="27"/>
          <w:szCs w:val="27"/>
        </w:rPr>
        <w:t xml:space="preserve">kết hợp tham quan và học tập </w:t>
      </w:r>
      <w:r w:rsidRPr="00F558A8">
        <w:rPr>
          <w:sz w:val="27"/>
          <w:szCs w:val="27"/>
          <w:lang w:val="vi-VN"/>
        </w:rPr>
        <w:t>tại các cơ sở sản xuất</w:t>
      </w:r>
      <w:r w:rsidRPr="00F558A8">
        <w:rPr>
          <w:sz w:val="27"/>
          <w:szCs w:val="27"/>
        </w:rPr>
        <w:t xml:space="preserve">, kinh </w:t>
      </w:r>
      <w:r w:rsidRPr="00F558A8">
        <w:rPr>
          <w:sz w:val="27"/>
          <w:szCs w:val="27"/>
        </w:rPr>
        <w:lastRenderedPageBreak/>
        <w:t xml:space="preserve">doanh </w:t>
      </w:r>
      <w:r w:rsidRPr="00F558A8">
        <w:rPr>
          <w:sz w:val="27"/>
          <w:szCs w:val="27"/>
          <w:lang w:val="pt-BR"/>
        </w:rPr>
        <w:t xml:space="preserve">nhằm </w:t>
      </w:r>
      <w:r w:rsidRPr="00F558A8">
        <w:rPr>
          <w:sz w:val="27"/>
          <w:szCs w:val="27"/>
          <w:lang w:val="vi-VN"/>
        </w:rPr>
        <w:t xml:space="preserve">phát triển năng lực, </w:t>
      </w:r>
      <w:r w:rsidRPr="00F558A8">
        <w:rPr>
          <w:sz w:val="27"/>
          <w:szCs w:val="27"/>
        </w:rPr>
        <w:t>giáo dục</w:t>
      </w:r>
      <w:r w:rsidRPr="00F558A8">
        <w:rPr>
          <w:sz w:val="27"/>
          <w:szCs w:val="27"/>
          <w:lang w:val="vi-VN"/>
        </w:rPr>
        <w:t xml:space="preserve"> sáng tạo, </w:t>
      </w:r>
      <w:r w:rsidRPr="00F558A8">
        <w:rPr>
          <w:sz w:val="27"/>
          <w:szCs w:val="27"/>
        </w:rPr>
        <w:t>giáo dục</w:t>
      </w:r>
      <w:r w:rsidRPr="00F558A8">
        <w:rPr>
          <w:sz w:val="27"/>
          <w:szCs w:val="27"/>
          <w:lang w:val="vi-VN"/>
        </w:rPr>
        <w:t xml:space="preserve"> phẩm chất</w:t>
      </w:r>
      <w:r w:rsidRPr="00F558A8">
        <w:rPr>
          <w:sz w:val="27"/>
          <w:szCs w:val="27"/>
        </w:rPr>
        <w:t>,</w:t>
      </w:r>
      <w:r w:rsidRPr="00F558A8">
        <w:rPr>
          <w:sz w:val="27"/>
          <w:szCs w:val="27"/>
          <w:lang w:val="vi-VN"/>
        </w:rPr>
        <w:t xml:space="preserve"> kỹ năng sống</w:t>
      </w:r>
      <w:r w:rsidRPr="00F558A8">
        <w:rPr>
          <w:sz w:val="27"/>
          <w:szCs w:val="27"/>
        </w:rPr>
        <w:t xml:space="preserve">, </w:t>
      </w:r>
      <w:r w:rsidRPr="00F558A8">
        <w:rPr>
          <w:sz w:val="27"/>
          <w:szCs w:val="27"/>
          <w:lang w:val="af-ZA"/>
        </w:rPr>
        <w:t>hiểu biết xã hội, thực hành pháp luật</w:t>
      </w:r>
      <w:r w:rsidRPr="00F558A8">
        <w:rPr>
          <w:sz w:val="27"/>
          <w:szCs w:val="27"/>
        </w:rPr>
        <w:t xml:space="preserve"> … cho học sinh.</w:t>
      </w:r>
    </w:p>
    <w:p w14:paraId="5C0D462A" w14:textId="378BEDF8" w:rsidR="00794352" w:rsidRPr="00F558A8" w:rsidRDefault="00794352" w:rsidP="00C80205">
      <w:pPr>
        <w:ind w:firstLine="709"/>
        <w:jc w:val="both"/>
        <w:rPr>
          <w:sz w:val="27"/>
          <w:szCs w:val="27"/>
          <w:lang w:val="vi-VN"/>
        </w:rPr>
      </w:pPr>
      <w:r w:rsidRPr="00F558A8">
        <w:rPr>
          <w:sz w:val="27"/>
          <w:szCs w:val="27"/>
          <w:lang w:val="vi-VN"/>
        </w:rPr>
        <w:t xml:space="preserve">Chú trọng việc dạy học thực hành trong giờ chính khoá; bảo đảm cân đối giữa việc truyền thụ kiến thức và rèn luyện kỹ năng cho học sinh; chú trọng liên hệ thực tế phù hợp với nội dung bài học. </w:t>
      </w:r>
    </w:p>
    <w:p w14:paraId="0449AEAD" w14:textId="27F9DF1C" w:rsidR="00794352" w:rsidRPr="00F558A8" w:rsidRDefault="00794352" w:rsidP="00C80205">
      <w:pPr>
        <w:ind w:firstLine="709"/>
        <w:jc w:val="both"/>
        <w:rPr>
          <w:sz w:val="27"/>
          <w:szCs w:val="27"/>
          <w:lang w:val="vi-VN"/>
        </w:rPr>
      </w:pPr>
      <w:r w:rsidRPr="00F558A8">
        <w:rPr>
          <w:sz w:val="27"/>
          <w:szCs w:val="27"/>
          <w:lang w:val="vi-VN"/>
        </w:rPr>
        <w:t xml:space="preserve">Tăng cường tổ chức các hoạt động như: Hội thi thí nghiệm-thực hành của học sinh, thi tự làm và sử dụng thiết bị dạy học của giáo viên, thi hùng biện </w:t>
      </w:r>
      <w:r w:rsidRPr="00F558A8">
        <w:rPr>
          <w:sz w:val="27"/>
          <w:szCs w:val="27"/>
        </w:rPr>
        <w:t>T</w:t>
      </w:r>
      <w:r w:rsidRPr="00F558A8">
        <w:rPr>
          <w:sz w:val="27"/>
          <w:szCs w:val="27"/>
          <w:lang w:val="vi-VN"/>
        </w:rPr>
        <w:t xml:space="preserve">iếng Anh, </w:t>
      </w:r>
      <w:r w:rsidRPr="00F558A8">
        <w:rPr>
          <w:sz w:val="27"/>
          <w:szCs w:val="27"/>
        </w:rPr>
        <w:t>T</w:t>
      </w:r>
      <w:r w:rsidRPr="00F558A8">
        <w:rPr>
          <w:sz w:val="27"/>
          <w:szCs w:val="27"/>
          <w:lang w:val="vi-VN"/>
        </w:rPr>
        <w:t>iếng Pháp…  nhằm khuyến khích giáo viên và học sinh tăng cường sử dụng hợp lý, khai thác tối đa hiệu năng các thiết bị dạy học, phương tiện nghe nhìn, phòng học bộ môn.</w:t>
      </w:r>
    </w:p>
    <w:p w14:paraId="19BEC82A" w14:textId="77777777" w:rsidR="00794352" w:rsidRPr="00F558A8" w:rsidRDefault="00794352" w:rsidP="00C80205">
      <w:pPr>
        <w:pStyle w:val="BodyText2"/>
        <w:ind w:firstLine="709"/>
        <w:rPr>
          <w:rFonts w:ascii="Times New Roman" w:hAnsi="Times New Roman"/>
          <w:b/>
          <w:sz w:val="27"/>
          <w:szCs w:val="27"/>
          <w:highlight w:val="white"/>
          <w:lang w:val="pt-BR"/>
        </w:rPr>
      </w:pPr>
      <w:r w:rsidRPr="00F558A8">
        <w:rPr>
          <w:rFonts w:ascii="Times New Roman" w:hAnsi="Times New Roman"/>
          <w:b/>
          <w:color w:val="000000"/>
          <w:sz w:val="27"/>
          <w:szCs w:val="27"/>
          <w:highlight w:val="white"/>
          <w:lang w:val="pt-BR"/>
        </w:rPr>
        <w:t>Tình hình và kết quả đổi mới kiểm tra, đánh giá theo định hướng phát triển phẩm chất và năng lực học sinh</w:t>
      </w:r>
    </w:p>
    <w:p w14:paraId="4711B844" w14:textId="77777777" w:rsidR="00794352" w:rsidRPr="00F558A8" w:rsidRDefault="00794352" w:rsidP="00C80205">
      <w:pPr>
        <w:ind w:firstLine="709"/>
        <w:jc w:val="both"/>
        <w:rPr>
          <w:sz w:val="27"/>
          <w:szCs w:val="27"/>
          <w:lang w:val="vi-VN"/>
        </w:rPr>
      </w:pPr>
      <w:r w:rsidRPr="00F558A8">
        <w:rPr>
          <w:sz w:val="27"/>
          <w:szCs w:val="27"/>
          <w:lang w:val="vi-VN"/>
        </w:rPr>
        <w:t xml:space="preserve">Tiếp tục thực hiện đổi mới </w:t>
      </w:r>
      <w:r w:rsidRPr="00F558A8">
        <w:rPr>
          <w:sz w:val="27"/>
          <w:szCs w:val="27"/>
          <w:lang w:val="pt-BR"/>
        </w:rPr>
        <w:t>kiểm tra, đánh giá theo định hướng phát triển năng lực học sinh</w:t>
      </w:r>
      <w:r w:rsidRPr="00F558A8">
        <w:rPr>
          <w:sz w:val="27"/>
          <w:szCs w:val="27"/>
          <w:lang w:val="vi-VN"/>
        </w:rPr>
        <w:t xml:space="preserve"> triệt để hơn, sâu rộng hơn đến từng cán bộ quản lý, giáo viên trung học và học sinh.</w:t>
      </w:r>
    </w:p>
    <w:p w14:paraId="0DD6EDB6" w14:textId="77777777" w:rsidR="00794352" w:rsidRPr="00F558A8" w:rsidRDefault="00794352" w:rsidP="00C80205">
      <w:pPr>
        <w:ind w:firstLine="709"/>
        <w:jc w:val="both"/>
        <w:rPr>
          <w:sz w:val="27"/>
          <w:szCs w:val="27"/>
          <w:lang w:val="vi-VN"/>
        </w:rPr>
      </w:pPr>
      <w:r w:rsidRPr="00F558A8">
        <w:rPr>
          <w:sz w:val="27"/>
          <w:szCs w:val="27"/>
        </w:rPr>
        <w:t>Chỉ đạo các trường c</w:t>
      </w:r>
      <w:r w:rsidRPr="00F558A8">
        <w:rPr>
          <w:sz w:val="27"/>
          <w:szCs w:val="27"/>
          <w:lang w:val="vi-VN"/>
        </w:rPr>
        <w:t>hú trọng đánh giá thường xuyên đối với tất cả học sinh: đánh giá qua các hoạt động</w:t>
      </w:r>
      <w:r w:rsidRPr="00F558A8">
        <w:rPr>
          <w:sz w:val="27"/>
          <w:szCs w:val="27"/>
        </w:rPr>
        <w:t>, hồ sơ, báo cáo, thực hiện dự án trong quá trình học tập của học sinh, c</w:t>
      </w:r>
      <w:r w:rsidRPr="00F558A8">
        <w:rPr>
          <w:sz w:val="27"/>
          <w:szCs w:val="27"/>
          <w:lang w:val="vi-VN"/>
        </w:rPr>
        <w:t>ó thể sử dụng các hình thức đánh giá nói trên thay cho các bài kiểm tra hiện hành</w:t>
      </w:r>
      <w:r w:rsidRPr="00F558A8">
        <w:rPr>
          <w:sz w:val="27"/>
          <w:szCs w:val="27"/>
        </w:rPr>
        <w:t>. Giáo viên</w:t>
      </w:r>
      <w:r w:rsidRPr="00F558A8">
        <w:rPr>
          <w:sz w:val="27"/>
          <w:szCs w:val="27"/>
          <w:lang w:val="vi-VN"/>
        </w:rPr>
        <w:t xml:space="preserve"> chấm bài kiểm tra phải có phần nhận xét, hướng dẫn, sửa sai, động viên sự cố gắng, tiến bộ của học sinh.</w:t>
      </w:r>
      <w:r w:rsidRPr="00F558A8">
        <w:rPr>
          <w:sz w:val="27"/>
          <w:szCs w:val="27"/>
        </w:rPr>
        <w:t xml:space="preserve"> </w:t>
      </w:r>
      <w:r w:rsidRPr="00F558A8">
        <w:rPr>
          <w:sz w:val="27"/>
          <w:szCs w:val="27"/>
          <w:lang w:val="vi-VN"/>
        </w:rPr>
        <w:t xml:space="preserve">Kết hợp đánh giá trong quá trình dạy học, giáo dục và đánh giá tổng kết cuối kỳ, cuối năm học. </w:t>
      </w:r>
    </w:p>
    <w:p w14:paraId="096A0CE7" w14:textId="48B7ACCC" w:rsidR="00794352" w:rsidRPr="00F558A8" w:rsidRDefault="00794352" w:rsidP="00C80205">
      <w:pPr>
        <w:pStyle w:val="BodyText2"/>
        <w:ind w:firstLine="709"/>
        <w:rPr>
          <w:rFonts w:ascii="Times New Roman" w:hAnsi="Times New Roman"/>
          <w:b/>
          <w:sz w:val="27"/>
          <w:szCs w:val="27"/>
          <w:highlight w:val="white"/>
          <w:lang w:val="pt-BR"/>
        </w:rPr>
      </w:pPr>
      <w:r w:rsidRPr="00F558A8">
        <w:rPr>
          <w:rFonts w:ascii="Times New Roman" w:hAnsi="Times New Roman"/>
          <w:b/>
          <w:sz w:val="27"/>
          <w:szCs w:val="27"/>
          <w:highlight w:val="white"/>
          <w:lang w:val="pt-BR"/>
        </w:rPr>
        <w:t>Các giải pháp</w:t>
      </w:r>
    </w:p>
    <w:p w14:paraId="2457EE87" w14:textId="33E98B35" w:rsidR="00794352" w:rsidRPr="00F558A8" w:rsidRDefault="00794352" w:rsidP="00C80205">
      <w:pPr>
        <w:ind w:firstLine="709"/>
        <w:jc w:val="both"/>
        <w:rPr>
          <w:sz w:val="27"/>
          <w:szCs w:val="27"/>
          <w:lang w:val="de-DE"/>
        </w:rPr>
      </w:pPr>
      <w:r w:rsidRPr="00F558A8">
        <w:rPr>
          <w:sz w:val="27"/>
          <w:szCs w:val="27"/>
          <w:lang w:val="de-DE"/>
        </w:rPr>
        <w:t>- Sở GDĐT đã ký kết kế hoạch hợp tác với Trung tâm bảo tồn Di tích Cố đô Huế để tổ chức cho học sinh trải nghiệm, tham quan di sản, di tích, các di sản văn hóa vật thể và phi vật thể học sinh với sự hướng dẫn của giáo viên.</w:t>
      </w:r>
    </w:p>
    <w:p w14:paraId="5C668928" w14:textId="1D53282F" w:rsidR="00794352" w:rsidRPr="00F558A8" w:rsidRDefault="00794352" w:rsidP="00C80205">
      <w:pPr>
        <w:ind w:firstLine="709"/>
        <w:jc w:val="both"/>
        <w:rPr>
          <w:sz w:val="27"/>
          <w:szCs w:val="27"/>
          <w:lang w:val="de-DE"/>
        </w:rPr>
      </w:pPr>
      <w:r w:rsidRPr="00F558A8">
        <w:rPr>
          <w:sz w:val="27"/>
          <w:szCs w:val="27"/>
          <w:lang w:val="de-DE"/>
        </w:rPr>
        <w:t xml:space="preserve">- </w:t>
      </w:r>
      <w:r w:rsidRPr="00F558A8">
        <w:rPr>
          <w:sz w:val="27"/>
          <w:szCs w:val="27"/>
        </w:rPr>
        <w:t xml:space="preserve">Đặc biệt, trong năm học 2019-2020, mặc dù gặp khó khăn trong dạy và học do học sinh nghỉ học dài ngày để phòng chống dịch Covid – 19, Sở GDĐT đã </w:t>
      </w:r>
      <w:r w:rsidRPr="00F558A8">
        <w:rPr>
          <w:color w:val="000000"/>
          <w:sz w:val="27"/>
          <w:szCs w:val="27"/>
          <w:bdr w:val="none" w:sz="0" w:space="0" w:color="auto" w:frame="1"/>
          <w:shd w:val="clear" w:color="auto" w:fill="FFFFFF"/>
        </w:rPr>
        <w:t xml:space="preserve">chỉ đạo toàn ngành vừa phòng chống dịch an toàn vừa duy trì tốt kế hoạch dạy học truyền hình, qua Internet nhằm đảm bảo cung cấp đầy đủ kiến thức, hoàn thành chương trình và kết thúc năm học theo đúng quy định. Sở </w:t>
      </w:r>
      <w:r w:rsidRPr="00F558A8">
        <w:rPr>
          <w:sz w:val="27"/>
          <w:szCs w:val="27"/>
        </w:rPr>
        <w:t>GDĐT</w:t>
      </w:r>
      <w:r w:rsidRPr="00F558A8">
        <w:rPr>
          <w:color w:val="000000"/>
          <w:sz w:val="27"/>
          <w:szCs w:val="27"/>
          <w:bdr w:val="none" w:sz="0" w:space="0" w:color="auto" w:frame="1"/>
          <w:shd w:val="clear" w:color="auto" w:fill="FFFFFF"/>
        </w:rPr>
        <w:t xml:space="preserve"> đã </w:t>
      </w:r>
      <w:r w:rsidRPr="00F558A8">
        <w:rPr>
          <w:sz w:val="27"/>
          <w:szCs w:val="27"/>
        </w:rPr>
        <w:t>phối hợp Đài phát thanh truyền hình tỉnh tổ chức dạy học trên truyền hình cho các khối lớp: lớp 12 (từ 16/3/2020), lớp 9 (từ 23/3/2020), lớp 5 (từ 13/4/2020) với tổng số tiết như sau: 268 tiết giảng lớp 12, 48 tiết giảng lớp 9, 16 tiết giảng lớp 5. Đồng thời với việc tổ chức dạy học trên truyền hình, Sở chỉ đạo các đơn vị dạy học qua Internet đối với các khối lớp khác. Đến ngày 11/7/2020 đã có 5</w:t>
      </w:r>
      <w:r w:rsidR="002E7028">
        <w:rPr>
          <w:sz w:val="27"/>
          <w:szCs w:val="27"/>
        </w:rPr>
        <w:t>7</w:t>
      </w:r>
      <w:r w:rsidRPr="00F558A8">
        <w:rPr>
          <w:sz w:val="27"/>
          <w:szCs w:val="27"/>
        </w:rPr>
        <w:t xml:space="preserve"> tiết bài giảng đã được Bộ </w:t>
      </w:r>
      <w:r w:rsidR="00846D97">
        <w:rPr>
          <w:sz w:val="27"/>
          <w:szCs w:val="27"/>
        </w:rPr>
        <w:t>G</w:t>
      </w:r>
      <w:r w:rsidRPr="00F558A8">
        <w:rPr>
          <w:sz w:val="27"/>
          <w:szCs w:val="27"/>
        </w:rPr>
        <w:t>iáo dục và Đào tạo thẩm định và chọn phát trên kênh VTV7.</w:t>
      </w:r>
    </w:p>
    <w:p w14:paraId="64A8B4BF" w14:textId="77777777" w:rsidR="00794352" w:rsidRPr="00F558A8" w:rsidRDefault="00794352" w:rsidP="00C80205">
      <w:pPr>
        <w:tabs>
          <w:tab w:val="left" w:pos="8222"/>
        </w:tabs>
        <w:ind w:firstLine="709"/>
        <w:jc w:val="both"/>
        <w:rPr>
          <w:sz w:val="27"/>
          <w:szCs w:val="27"/>
          <w:lang w:val="de-DE"/>
        </w:rPr>
      </w:pPr>
      <w:r w:rsidRPr="00F558A8">
        <w:rPr>
          <w:sz w:val="27"/>
          <w:szCs w:val="27"/>
          <w:lang w:val="de-DE"/>
        </w:rPr>
        <w:t xml:space="preserve">- Phát động Cuộc thi viết thư quốc tế UPU lần thứ 49 với 22.596 học sinh của 118 trường phổ thông tham gia. Kết quả: </w:t>
      </w:r>
      <w:r w:rsidRPr="00F558A8">
        <w:rPr>
          <w:sz w:val="27"/>
          <w:szCs w:val="27"/>
        </w:rPr>
        <w:t>có 1 học sinh đoạt giải nhất quốc gia viết thư UPU lần thứ 49.</w:t>
      </w:r>
    </w:p>
    <w:p w14:paraId="333AF4C4" w14:textId="77777777" w:rsidR="00794352" w:rsidRPr="00F558A8" w:rsidRDefault="00794352" w:rsidP="00C80205">
      <w:pPr>
        <w:ind w:firstLine="709"/>
        <w:jc w:val="both"/>
        <w:rPr>
          <w:sz w:val="27"/>
          <w:szCs w:val="27"/>
        </w:rPr>
      </w:pPr>
      <w:r w:rsidRPr="00F558A8">
        <w:rPr>
          <w:sz w:val="27"/>
          <w:szCs w:val="27"/>
        </w:rPr>
        <w:t>- Sở đã tổ chức sinh hoạt chuyên môn theo cụm trường toàn tỉnh cho 11 môn học đối với các trường THPT trong học kỳ I.</w:t>
      </w:r>
    </w:p>
    <w:p w14:paraId="5D5252AE" w14:textId="77777777" w:rsidR="00272B34" w:rsidRPr="00F558A8" w:rsidRDefault="00961426" w:rsidP="00C80205">
      <w:pPr>
        <w:pStyle w:val="BodyText2"/>
        <w:ind w:firstLine="709"/>
        <w:rPr>
          <w:rFonts w:ascii="Times New Roman" w:hAnsi="Times New Roman"/>
          <w:b/>
          <w:sz w:val="27"/>
          <w:szCs w:val="27"/>
          <w:highlight w:val="white"/>
          <w:lang w:val="pt-BR"/>
        </w:rPr>
      </w:pPr>
      <w:r w:rsidRPr="00F558A8">
        <w:rPr>
          <w:rFonts w:ascii="Times New Roman" w:hAnsi="Times New Roman"/>
          <w:b/>
          <w:sz w:val="27"/>
          <w:szCs w:val="27"/>
          <w:highlight w:val="white"/>
          <w:lang w:val="pt-BR"/>
        </w:rPr>
        <w:t>2</w:t>
      </w:r>
      <w:r w:rsidR="00272B34" w:rsidRPr="00F558A8">
        <w:rPr>
          <w:rFonts w:ascii="Times New Roman" w:hAnsi="Times New Roman"/>
          <w:b/>
          <w:sz w:val="27"/>
          <w:szCs w:val="27"/>
          <w:highlight w:val="white"/>
          <w:lang w:val="pt-BR"/>
        </w:rPr>
        <w:t xml:space="preserve">.3. Hoạt động giáo dục hướng nghiệp, giáo dục nghề phổ thông và công tác phân luồng học sinh </w:t>
      </w:r>
      <w:r w:rsidR="00272B34" w:rsidRPr="00F558A8">
        <w:rPr>
          <w:rFonts w:ascii="Times New Roman" w:hAnsi="Times New Roman"/>
          <w:b/>
          <w:color w:val="222222"/>
          <w:sz w:val="27"/>
          <w:szCs w:val="27"/>
          <w:highlight w:val="white"/>
          <w:shd w:val="clear" w:color="auto" w:fill="FFFFFF"/>
          <w:lang w:val="pt-BR"/>
        </w:rPr>
        <w:t>sau trung học cơ sở (THCS) và THPT</w:t>
      </w:r>
    </w:p>
    <w:p w14:paraId="76B41A30" w14:textId="3147CC66" w:rsidR="00F47FA8" w:rsidRPr="00F558A8" w:rsidRDefault="00F47FA8" w:rsidP="00C80205">
      <w:pPr>
        <w:ind w:firstLine="709"/>
        <w:jc w:val="both"/>
        <w:rPr>
          <w:sz w:val="27"/>
          <w:szCs w:val="27"/>
          <w:lang w:val="de-DE"/>
        </w:rPr>
      </w:pPr>
      <w:r w:rsidRPr="00F558A8">
        <w:rPr>
          <w:sz w:val="27"/>
          <w:szCs w:val="27"/>
          <w:lang w:val="de-DE"/>
        </w:rPr>
        <w:t>Làm tốt công tác hướng nghiệp để góp phần phân luồng học sinh có hiệu quả. Tổ chức tốt các hình thức giáo dục để nâng cao chất lượng, tăng hiệu quả đào tạo.</w:t>
      </w:r>
    </w:p>
    <w:p w14:paraId="765D9E9E" w14:textId="06C25C23" w:rsidR="00F47FA8" w:rsidRPr="00F558A8" w:rsidRDefault="00F47FA8" w:rsidP="00C80205">
      <w:pPr>
        <w:pStyle w:val="BodyText2"/>
        <w:ind w:firstLine="709"/>
        <w:rPr>
          <w:rFonts w:ascii="Times New Roman" w:hAnsi="Times New Roman"/>
          <w:sz w:val="27"/>
          <w:szCs w:val="27"/>
        </w:rPr>
      </w:pPr>
      <w:r w:rsidRPr="00F558A8">
        <w:rPr>
          <w:rFonts w:ascii="Times New Roman" w:hAnsi="Times New Roman"/>
          <w:sz w:val="27"/>
          <w:szCs w:val="27"/>
          <w:lang w:val="pt-BR"/>
        </w:rPr>
        <w:lastRenderedPageBreak/>
        <w:t>Chỉ đạo</w:t>
      </w:r>
      <w:r w:rsidRPr="00F558A8">
        <w:rPr>
          <w:rFonts w:ascii="Times New Roman" w:hAnsi="Times New Roman"/>
          <w:sz w:val="27"/>
          <w:szCs w:val="27"/>
          <w:lang w:val="vi-VN"/>
        </w:rPr>
        <w:t xml:space="preserve"> các Phòng GDĐT, </w:t>
      </w:r>
      <w:r w:rsidRPr="00F558A8">
        <w:rPr>
          <w:rFonts w:ascii="Times New Roman" w:hAnsi="Times New Roman"/>
          <w:sz w:val="27"/>
          <w:szCs w:val="27"/>
        </w:rPr>
        <w:t xml:space="preserve">các </w:t>
      </w:r>
      <w:r w:rsidRPr="00F558A8">
        <w:rPr>
          <w:rFonts w:ascii="Times New Roman" w:hAnsi="Times New Roman"/>
          <w:sz w:val="27"/>
          <w:szCs w:val="27"/>
          <w:lang w:val="vi-VN"/>
        </w:rPr>
        <w:t>trường lựa chọn các nghề phổ thông phù hợp với</w:t>
      </w:r>
      <w:r w:rsidRPr="00F558A8">
        <w:rPr>
          <w:rFonts w:ascii="Times New Roman" w:hAnsi="Times New Roman"/>
          <w:color w:val="FF0000"/>
          <w:sz w:val="27"/>
          <w:szCs w:val="27"/>
          <w:lang w:val="vi-VN"/>
        </w:rPr>
        <w:t xml:space="preserve"> </w:t>
      </w:r>
      <w:r w:rsidRPr="00F558A8">
        <w:rPr>
          <w:rFonts w:ascii="Times New Roman" w:hAnsi="Times New Roman"/>
          <w:sz w:val="27"/>
          <w:szCs w:val="27"/>
          <w:lang w:val="vi-VN"/>
        </w:rPr>
        <w:t xml:space="preserve">thực tiễn, </w:t>
      </w:r>
      <w:r w:rsidRPr="00F558A8">
        <w:rPr>
          <w:rFonts w:ascii="Times New Roman" w:hAnsi="Times New Roman"/>
          <w:sz w:val="27"/>
          <w:szCs w:val="27"/>
        </w:rPr>
        <w:t>gắn liền</w:t>
      </w:r>
      <w:r w:rsidRPr="00F558A8">
        <w:rPr>
          <w:rFonts w:ascii="Times New Roman" w:hAnsi="Times New Roman"/>
          <w:sz w:val="27"/>
          <w:szCs w:val="27"/>
          <w:lang w:val="vi-VN"/>
        </w:rPr>
        <w:t xml:space="preserve"> sản xuất</w:t>
      </w:r>
      <w:r w:rsidRPr="00F558A8">
        <w:rPr>
          <w:rFonts w:ascii="Times New Roman" w:hAnsi="Times New Roman"/>
          <w:sz w:val="27"/>
          <w:szCs w:val="27"/>
        </w:rPr>
        <w:t>, kinh doanh</w:t>
      </w:r>
      <w:r w:rsidRPr="00F558A8">
        <w:rPr>
          <w:rFonts w:ascii="Times New Roman" w:hAnsi="Times New Roman"/>
          <w:sz w:val="27"/>
          <w:szCs w:val="27"/>
          <w:lang w:val="vi-VN"/>
        </w:rPr>
        <w:t xml:space="preserve"> tại địa phương. Tăng cường quản lý nhằm nâng cao chất lượng việc tổ chức hoạt động </w:t>
      </w:r>
      <w:r w:rsidRPr="00F558A8">
        <w:rPr>
          <w:rFonts w:ascii="Times New Roman" w:hAnsi="Times New Roman"/>
          <w:sz w:val="27"/>
          <w:szCs w:val="27"/>
        </w:rPr>
        <w:t>dạy</w:t>
      </w:r>
      <w:r w:rsidRPr="00F558A8">
        <w:rPr>
          <w:rFonts w:ascii="Times New Roman" w:hAnsi="Times New Roman"/>
          <w:sz w:val="27"/>
          <w:szCs w:val="27"/>
          <w:lang w:val="vi-VN"/>
        </w:rPr>
        <w:t xml:space="preserve"> nghề phổ thông</w:t>
      </w:r>
      <w:r w:rsidRPr="00F558A8">
        <w:rPr>
          <w:rFonts w:ascii="Times New Roman" w:hAnsi="Times New Roman"/>
          <w:sz w:val="27"/>
          <w:szCs w:val="27"/>
        </w:rPr>
        <w:t>.</w:t>
      </w:r>
    </w:p>
    <w:p w14:paraId="009B04EB" w14:textId="0B02AFDD" w:rsidR="00F47FA8" w:rsidRPr="00F558A8" w:rsidRDefault="00F47FA8" w:rsidP="00C80205">
      <w:pPr>
        <w:ind w:firstLine="709"/>
        <w:jc w:val="both"/>
        <w:rPr>
          <w:sz w:val="27"/>
          <w:szCs w:val="27"/>
          <w:lang w:val="de-DE"/>
        </w:rPr>
      </w:pPr>
      <w:r w:rsidRPr="00F558A8">
        <w:rPr>
          <w:sz w:val="27"/>
          <w:szCs w:val="27"/>
          <w:lang w:val="de-DE"/>
        </w:rPr>
        <w:t>Tiếp tục củng cố và phát huy tốt kết quả phổ cập THCS, thực hiện tốt mối quan hệ “Nhà trường-Gia đình-Xã hội” để có những biện pháp hữu hiệu có tính chất ổn định, phát triển lâu dài, giảm tỷ lệ học sinh bỏ học. Đặc biệt chú trọng các biện pháp ở các vùng khó, vùng dân tộc thiểu số để giảm thiểu số học sinh lưu ban, bỏ học.</w:t>
      </w:r>
    </w:p>
    <w:p w14:paraId="6A9EBBBB" w14:textId="77777777" w:rsidR="00272B34" w:rsidRPr="00F558A8" w:rsidRDefault="00137BFB" w:rsidP="00C80205">
      <w:pPr>
        <w:pStyle w:val="BodyText2"/>
        <w:ind w:firstLine="709"/>
        <w:rPr>
          <w:rFonts w:ascii="Times New Roman" w:hAnsi="Times New Roman"/>
          <w:b/>
          <w:color w:val="000000" w:themeColor="text1"/>
          <w:sz w:val="27"/>
          <w:szCs w:val="27"/>
          <w:highlight w:val="white"/>
          <w:lang w:val="pt-BR"/>
        </w:rPr>
      </w:pPr>
      <w:r w:rsidRPr="00F558A8">
        <w:rPr>
          <w:rFonts w:ascii="Times New Roman" w:hAnsi="Times New Roman"/>
          <w:b/>
          <w:color w:val="000000" w:themeColor="text1"/>
          <w:sz w:val="27"/>
          <w:szCs w:val="27"/>
          <w:highlight w:val="white"/>
          <w:lang w:val="pt-BR"/>
        </w:rPr>
        <w:t>2</w:t>
      </w:r>
      <w:r w:rsidR="00272B34" w:rsidRPr="00F558A8">
        <w:rPr>
          <w:rFonts w:ascii="Times New Roman" w:hAnsi="Times New Roman"/>
          <w:b/>
          <w:color w:val="000000" w:themeColor="text1"/>
          <w:sz w:val="27"/>
          <w:szCs w:val="27"/>
          <w:highlight w:val="white"/>
          <w:lang w:val="pt-BR"/>
        </w:rPr>
        <w:t>.4. Kết quả hoạt động dạy học ngoại ngữ</w:t>
      </w:r>
    </w:p>
    <w:p w14:paraId="6694E2B4" w14:textId="7AEC69F2" w:rsidR="00B33591" w:rsidRPr="00F558A8" w:rsidRDefault="00B33591" w:rsidP="00C80205">
      <w:pPr>
        <w:spacing w:before="60"/>
        <w:ind w:firstLine="720"/>
        <w:jc w:val="both"/>
        <w:rPr>
          <w:color w:val="FF0000"/>
          <w:sz w:val="27"/>
          <w:szCs w:val="27"/>
        </w:rPr>
      </w:pPr>
      <w:r w:rsidRPr="00F558A8">
        <w:rPr>
          <w:sz w:val="27"/>
          <w:szCs w:val="27"/>
        </w:rPr>
        <w:t>Sở quan tâm chỉ đạo các đơn vị chú trọng tăng cường bồi dưỡng, chuẩn hóa năng lực giáo viên Tiếng Anh để đáp ứng yêu cầu dạy học đổi mới theo hướng phát triển năng lực của người học. Cho đến nay, có trên 90% giáo viên đạt chuẩn năng lực ngôn ngữ theo cấp học.</w:t>
      </w:r>
    </w:p>
    <w:p w14:paraId="78C9F133" w14:textId="2FAB6730" w:rsidR="00B33591" w:rsidRPr="00F558A8" w:rsidRDefault="00B33591" w:rsidP="00C80205">
      <w:pPr>
        <w:ind w:firstLine="720"/>
        <w:jc w:val="both"/>
        <w:rPr>
          <w:sz w:val="27"/>
          <w:szCs w:val="27"/>
        </w:rPr>
      </w:pPr>
      <w:r w:rsidRPr="00F558A8">
        <w:rPr>
          <w:sz w:val="27"/>
          <w:szCs w:val="27"/>
        </w:rPr>
        <w:t>Chỉ đạo các đơn vị thực hiện tốt các văn bản, chỉ đạo của Bộ về công tác dạy học ngoại ngữ, đổi mới kiểm tra đánh giá theo hướng đủ 4 kỹ năng nghe, nói, đọc, viết, kết hợp phù hợp giữa tự luận và trắc nghiệm</w:t>
      </w:r>
      <w:r w:rsidR="004B256E" w:rsidRPr="00F558A8">
        <w:rPr>
          <w:sz w:val="27"/>
          <w:szCs w:val="27"/>
        </w:rPr>
        <w:t>.</w:t>
      </w:r>
    </w:p>
    <w:p w14:paraId="76371B40" w14:textId="3CAEB2D2" w:rsidR="00B33591" w:rsidRPr="00F558A8" w:rsidRDefault="00B33591" w:rsidP="00C80205">
      <w:pPr>
        <w:spacing w:before="60"/>
        <w:ind w:firstLine="720"/>
        <w:jc w:val="both"/>
        <w:rPr>
          <w:sz w:val="27"/>
          <w:szCs w:val="27"/>
        </w:rPr>
      </w:pPr>
      <w:r w:rsidRPr="00F558A8">
        <w:rPr>
          <w:sz w:val="27"/>
          <w:szCs w:val="27"/>
        </w:rPr>
        <w:t>Chỉ đạo các đơn vị tăng cường đầu tư cơ sở vật chất và các điều kiện để mở rộng dạy học Tiếng Anh thí điểm, vận dụng các điều kiện phù hợp để dạy bổ trợ, tăng tiết nhằm nâng cao các kỹ năng nghe, nói, phụ đạo học sinh yếu kém, quan tâm tạo môi trường ngôn ngữ để học sinh được trải nghiệm. Năm học 201</w:t>
      </w:r>
      <w:r w:rsidR="00F47FA8" w:rsidRPr="00F558A8">
        <w:rPr>
          <w:sz w:val="27"/>
          <w:szCs w:val="27"/>
        </w:rPr>
        <w:t>9</w:t>
      </w:r>
      <w:r w:rsidRPr="00F558A8">
        <w:rPr>
          <w:sz w:val="27"/>
          <w:szCs w:val="27"/>
        </w:rPr>
        <w:t>-20</w:t>
      </w:r>
      <w:r w:rsidR="00F47FA8" w:rsidRPr="00F558A8">
        <w:rPr>
          <w:sz w:val="27"/>
          <w:szCs w:val="27"/>
        </w:rPr>
        <w:t>20</w:t>
      </w:r>
      <w:r w:rsidR="00F47FA8" w:rsidRPr="00F558A8">
        <w:rPr>
          <w:sz w:val="27"/>
          <w:szCs w:val="27"/>
          <w:lang w:val="pl-PL"/>
        </w:rPr>
        <w:t xml:space="preserve"> có 92,3% học sinh cấp THCS và 44,8% học sinh THPT học</w:t>
      </w:r>
      <w:r w:rsidRPr="00F558A8">
        <w:rPr>
          <w:sz w:val="27"/>
          <w:szCs w:val="27"/>
        </w:rPr>
        <w:t xml:space="preserve"> chương trình Tiếng Anh </w:t>
      </w:r>
      <w:r w:rsidR="00640B67" w:rsidRPr="00F558A8">
        <w:rPr>
          <w:sz w:val="27"/>
          <w:szCs w:val="27"/>
        </w:rPr>
        <w:t>10 năm</w:t>
      </w:r>
      <w:r w:rsidRPr="00F558A8">
        <w:rPr>
          <w:sz w:val="27"/>
          <w:szCs w:val="27"/>
        </w:rPr>
        <w:t xml:space="preserve">. </w:t>
      </w:r>
    </w:p>
    <w:p w14:paraId="3B1D4B7B" w14:textId="77C393FF" w:rsidR="004B256E" w:rsidRPr="00F558A8" w:rsidRDefault="004B256E" w:rsidP="00C80205">
      <w:pPr>
        <w:spacing w:before="60"/>
        <w:ind w:firstLine="720"/>
        <w:jc w:val="both"/>
        <w:rPr>
          <w:sz w:val="27"/>
          <w:szCs w:val="27"/>
        </w:rPr>
      </w:pPr>
      <w:r w:rsidRPr="00F558A8">
        <w:rPr>
          <w:sz w:val="27"/>
          <w:szCs w:val="27"/>
        </w:rPr>
        <w:t xml:space="preserve">Tiếp tục bồi dưỡng cho giáo viên dạy các môn khoa học tự nhiên ở trường THPT chuyên Quốc Học đạt trình độ Tiếng Anh B1, phục vụ việc dạy học các môn khoa học tự nhiên bằng Tiếng Anh. </w:t>
      </w:r>
    </w:p>
    <w:p w14:paraId="16179930" w14:textId="30E0E745" w:rsidR="00B33591" w:rsidRPr="00F558A8" w:rsidRDefault="00B33591" w:rsidP="00C80205">
      <w:pPr>
        <w:spacing w:before="60"/>
        <w:ind w:firstLine="720"/>
        <w:jc w:val="both"/>
        <w:rPr>
          <w:sz w:val="27"/>
          <w:szCs w:val="27"/>
        </w:rPr>
      </w:pPr>
      <w:r w:rsidRPr="00F558A8">
        <w:rPr>
          <w:sz w:val="27"/>
          <w:szCs w:val="27"/>
        </w:rPr>
        <w:t>Chỉ đạo các trường trung học có điều kiện tổ chức dạy học Tiếng Pháp, Tiếng Nhật là các môn ngoại ngữ 1 hoặc các ngoại ngữ 2.</w:t>
      </w:r>
    </w:p>
    <w:p w14:paraId="225C7CEA" w14:textId="24922AD9" w:rsidR="00B33591" w:rsidRPr="00F558A8" w:rsidRDefault="00817B65" w:rsidP="00C80205">
      <w:pPr>
        <w:spacing w:before="60"/>
        <w:ind w:firstLine="720"/>
        <w:jc w:val="both"/>
        <w:rPr>
          <w:rFonts w:eastAsia="PMingLiU"/>
          <w:sz w:val="27"/>
          <w:szCs w:val="27"/>
          <w:lang w:val="es-ES" w:eastAsia="zh-TW"/>
        </w:rPr>
      </w:pPr>
      <w:r w:rsidRPr="00F558A8">
        <w:rPr>
          <w:sz w:val="27"/>
          <w:szCs w:val="27"/>
        </w:rPr>
        <w:t>Trên cơ sở</w:t>
      </w:r>
      <w:r w:rsidR="00B33591" w:rsidRPr="00F558A8">
        <w:rPr>
          <w:sz w:val="27"/>
          <w:szCs w:val="27"/>
        </w:rPr>
        <w:t xml:space="preserve"> Kế hoạch 107/KH-UBND ngày </w:t>
      </w:r>
      <w:r w:rsidR="004763F1" w:rsidRPr="00F558A8">
        <w:rPr>
          <w:sz w:val="27"/>
          <w:szCs w:val="27"/>
        </w:rPr>
        <w:t>31</w:t>
      </w:r>
      <w:r w:rsidR="00B33591" w:rsidRPr="00F558A8">
        <w:rPr>
          <w:sz w:val="27"/>
          <w:szCs w:val="27"/>
        </w:rPr>
        <w:t xml:space="preserve">/5/2018 </w:t>
      </w:r>
      <w:r w:rsidRPr="00F558A8">
        <w:rPr>
          <w:sz w:val="27"/>
          <w:szCs w:val="27"/>
        </w:rPr>
        <w:t xml:space="preserve">của UBND Tỉnh đã tích cực triển khai </w:t>
      </w:r>
      <w:r w:rsidR="00B33591" w:rsidRPr="00F558A8">
        <w:rPr>
          <w:rFonts w:eastAsia="PMingLiU"/>
          <w:sz w:val="27"/>
          <w:szCs w:val="27"/>
          <w:lang w:val="es-ES" w:eastAsia="zh-TW"/>
        </w:rPr>
        <w:t>thực hiện đề án</w:t>
      </w:r>
      <w:r w:rsidRPr="00F558A8">
        <w:rPr>
          <w:rFonts w:eastAsia="PMingLiU"/>
          <w:sz w:val="27"/>
          <w:szCs w:val="27"/>
          <w:lang w:val="es-ES" w:eastAsia="zh-TW"/>
        </w:rPr>
        <w:t xml:space="preserve"> trong các trường học trên địa bàn tỉnh</w:t>
      </w:r>
      <w:r w:rsidR="00B33591" w:rsidRPr="00F558A8">
        <w:rPr>
          <w:rFonts w:eastAsia="PMingLiU"/>
          <w:sz w:val="27"/>
          <w:szCs w:val="27"/>
          <w:lang w:val="es-ES" w:eastAsia="zh-TW"/>
        </w:rPr>
        <w:t>.</w:t>
      </w:r>
    </w:p>
    <w:p w14:paraId="5130D282" w14:textId="29443BB9" w:rsidR="00B33591" w:rsidRPr="00F558A8" w:rsidRDefault="00B33591" w:rsidP="00C80205">
      <w:pPr>
        <w:spacing w:before="60"/>
        <w:ind w:firstLine="720"/>
        <w:jc w:val="both"/>
        <w:rPr>
          <w:rFonts w:eastAsia="PMingLiU"/>
          <w:sz w:val="27"/>
          <w:szCs w:val="27"/>
          <w:lang w:val="es-ES" w:eastAsia="zh-TW"/>
        </w:rPr>
      </w:pPr>
      <w:r w:rsidRPr="00F558A8">
        <w:rPr>
          <w:rFonts w:eastAsia="PMingLiU"/>
          <w:sz w:val="27"/>
          <w:szCs w:val="27"/>
          <w:lang w:val="es-ES" w:eastAsia="zh-TW"/>
        </w:rPr>
        <w:t xml:space="preserve">Trình độ chung của học sinh được nâng cao rõ nét, đặc biệt là kỹ năng nghe và nói, học sinh tự tin hơn trong giao tiếp nhờ sự thay đổi cách dạy học của giáo viên và được tham gia nhiều hoạt động trải nghiệm. </w:t>
      </w:r>
    </w:p>
    <w:p w14:paraId="3904F548" w14:textId="77777777" w:rsidR="00272B34" w:rsidRPr="00F558A8" w:rsidRDefault="00137BFB" w:rsidP="00C80205">
      <w:pPr>
        <w:pStyle w:val="BodyText2"/>
        <w:ind w:firstLine="709"/>
        <w:rPr>
          <w:rFonts w:ascii="Times New Roman" w:hAnsi="Times New Roman"/>
          <w:b/>
          <w:sz w:val="27"/>
          <w:szCs w:val="27"/>
          <w:highlight w:val="white"/>
          <w:lang w:val="pt-BR"/>
        </w:rPr>
      </w:pPr>
      <w:r w:rsidRPr="00F558A8">
        <w:rPr>
          <w:rFonts w:ascii="Times New Roman" w:hAnsi="Times New Roman"/>
          <w:b/>
          <w:sz w:val="27"/>
          <w:szCs w:val="27"/>
          <w:highlight w:val="white"/>
          <w:lang w:val="pt-BR"/>
        </w:rPr>
        <w:t>2</w:t>
      </w:r>
      <w:r w:rsidR="00272B34" w:rsidRPr="00F558A8">
        <w:rPr>
          <w:rFonts w:ascii="Times New Roman" w:hAnsi="Times New Roman"/>
          <w:b/>
          <w:sz w:val="27"/>
          <w:szCs w:val="27"/>
          <w:highlight w:val="white"/>
          <w:lang w:val="pt-BR"/>
        </w:rPr>
        <w:t>.5. Công tá</w:t>
      </w:r>
      <w:r w:rsidRPr="00F558A8">
        <w:rPr>
          <w:rFonts w:ascii="Times New Roman" w:hAnsi="Times New Roman"/>
          <w:b/>
          <w:sz w:val="27"/>
          <w:szCs w:val="27"/>
          <w:highlight w:val="white"/>
          <w:lang w:val="pt-BR"/>
        </w:rPr>
        <w:t>c giáo dục đạo đức, lối sống</w:t>
      </w:r>
      <w:r w:rsidR="00A616A8" w:rsidRPr="00F558A8">
        <w:rPr>
          <w:rFonts w:ascii="Times New Roman" w:hAnsi="Times New Roman"/>
          <w:b/>
          <w:sz w:val="27"/>
          <w:szCs w:val="27"/>
          <w:highlight w:val="white"/>
          <w:lang w:val="pt-BR"/>
        </w:rPr>
        <w:t>, giáo dục thể chất</w:t>
      </w:r>
      <w:r w:rsidR="00272B34" w:rsidRPr="00F558A8">
        <w:rPr>
          <w:rFonts w:ascii="Times New Roman" w:hAnsi="Times New Roman"/>
          <w:b/>
          <w:sz w:val="27"/>
          <w:szCs w:val="27"/>
          <w:highlight w:val="white"/>
          <w:lang w:val="pt-BR"/>
        </w:rPr>
        <w:t>;</w:t>
      </w:r>
      <w:r w:rsidR="00272B34" w:rsidRPr="00F558A8">
        <w:rPr>
          <w:rFonts w:ascii="Times New Roman" w:hAnsi="Times New Roman"/>
          <w:sz w:val="27"/>
          <w:szCs w:val="27"/>
          <w:highlight w:val="white"/>
          <w:lang w:val="pt-BR"/>
        </w:rPr>
        <w:t xml:space="preserve"> </w:t>
      </w:r>
      <w:r w:rsidR="00272B34" w:rsidRPr="00F558A8">
        <w:rPr>
          <w:rFonts w:ascii="Times New Roman" w:hAnsi="Times New Roman"/>
          <w:b/>
          <w:sz w:val="27"/>
          <w:szCs w:val="27"/>
          <w:lang w:val="pt-BR"/>
        </w:rPr>
        <w:t>khắc phục tình trạng bạo lực học đường và các hiện tượng tiêu cực khác</w:t>
      </w:r>
      <w:r w:rsidR="00272B34" w:rsidRPr="00F558A8">
        <w:rPr>
          <w:rFonts w:ascii="Times New Roman" w:hAnsi="Times New Roman"/>
          <w:b/>
          <w:sz w:val="27"/>
          <w:szCs w:val="27"/>
          <w:highlight w:val="white"/>
          <w:lang w:val="pt-BR"/>
        </w:rPr>
        <w:t xml:space="preserve"> </w:t>
      </w:r>
    </w:p>
    <w:p w14:paraId="1CD7709F" w14:textId="38F0D1E7" w:rsidR="00371478" w:rsidRPr="00F558A8" w:rsidRDefault="00371478" w:rsidP="00C80205">
      <w:pPr>
        <w:ind w:firstLine="709"/>
        <w:jc w:val="both"/>
        <w:rPr>
          <w:bCs/>
          <w:sz w:val="27"/>
          <w:szCs w:val="27"/>
        </w:rPr>
      </w:pPr>
      <w:r w:rsidRPr="00F558A8">
        <w:rPr>
          <w:bCs/>
          <w:sz w:val="27"/>
          <w:szCs w:val="27"/>
        </w:rPr>
        <w:t>Sở đã chỉ đạo các trường trung học, giáo viên thực hiện tích hợp một số nội dung môn học và các hoạt động giáo dục; tích hợp giáo dục đạo đức, học tập và làm theo tấm gương đạo đức Hồ Chí Minh, giáo dục phòng chống tham nhũng, sử dụng năng lượng tiết kiệm và hiệu quả, bảo vệ môi trường, đa dạng sinh học và bảo tồn thiên nhiên.</w:t>
      </w:r>
    </w:p>
    <w:p w14:paraId="4CDAC408" w14:textId="73CCAB28" w:rsidR="00371478" w:rsidRPr="00F558A8" w:rsidRDefault="00371478" w:rsidP="00C80205">
      <w:pPr>
        <w:tabs>
          <w:tab w:val="left" w:pos="8222"/>
        </w:tabs>
        <w:ind w:firstLine="709"/>
        <w:jc w:val="both"/>
        <w:rPr>
          <w:bCs/>
          <w:iCs/>
          <w:sz w:val="27"/>
          <w:szCs w:val="27"/>
          <w:lang w:val="pt-BR"/>
        </w:rPr>
      </w:pPr>
      <w:r w:rsidRPr="00F558A8">
        <w:rPr>
          <w:sz w:val="27"/>
          <w:szCs w:val="27"/>
          <w:lang w:val="de-DE"/>
        </w:rPr>
        <w:t>Trong các dịp cao điểm về ATGT Sở đều có văn bản chỉ đạo, hướng dẫn các đơn vị triển khai các giải pháp cụ thể nhằm đảm bảo ATGT; p</w:t>
      </w:r>
      <w:r w:rsidRPr="00F558A8">
        <w:rPr>
          <w:bCs/>
          <w:iCs/>
          <w:sz w:val="27"/>
          <w:szCs w:val="27"/>
        </w:rPr>
        <w:t>hát động các cuộc thi về ATGT do Bộ tổ chức</w:t>
      </w:r>
      <w:r w:rsidRPr="00F558A8">
        <w:rPr>
          <w:sz w:val="27"/>
          <w:szCs w:val="27"/>
        </w:rPr>
        <w:t>.</w:t>
      </w:r>
      <w:r w:rsidRPr="00F558A8">
        <w:rPr>
          <w:bCs/>
          <w:iCs/>
          <w:sz w:val="27"/>
          <w:szCs w:val="27"/>
          <w:lang w:val="pt-BR"/>
        </w:rPr>
        <w:t xml:space="preserve"> Kết quả, các đơn vị đã tích cực tham gia và đạt kết quả tốt, tiêu biểu như  cuộc thi “An toàn giao thông, nụ cười ngày mai” đã thu hút sự tham gia 17.134 bài dự thi. Kết quả đạt 47 giải, gồm có 2 Nhất, 8 giải Nhì, 12 giải 3 và 25 khuyến khích.</w:t>
      </w:r>
    </w:p>
    <w:p w14:paraId="7F9F453D" w14:textId="5C6FB5BB" w:rsidR="00371478" w:rsidRPr="00F558A8" w:rsidRDefault="00371478" w:rsidP="00C80205">
      <w:pPr>
        <w:pStyle w:val="BodyText"/>
        <w:spacing w:after="0"/>
        <w:ind w:firstLine="709"/>
        <w:jc w:val="both"/>
        <w:rPr>
          <w:sz w:val="27"/>
          <w:szCs w:val="27"/>
          <w:lang w:val="de-DE"/>
        </w:rPr>
      </w:pPr>
      <w:r w:rsidRPr="00F558A8">
        <w:rPr>
          <w:sz w:val="27"/>
          <w:szCs w:val="27"/>
          <w:lang w:val="de-DE"/>
        </w:rPr>
        <w:lastRenderedPageBreak/>
        <w:t>Hướng dẫn giáo dục kỹ năng sống cho học sinh thông qua việc hình thành các câu lạc bộ trong nhà trường; thực hiện “Nói không với trò chơi game oline có nội dung bạo lực”, “Nói không với hành vi bạo lực”, “Nói không với tệ nạn xã hội” nhằm khắc phục</w:t>
      </w:r>
      <w:r w:rsidRPr="00F558A8">
        <w:rPr>
          <w:sz w:val="27"/>
          <w:szCs w:val="27"/>
          <w:lang w:val="pt-BR"/>
        </w:rPr>
        <w:t xml:space="preserve"> tình trạng bạo lực học đường và các hiện tượng tiêu cực khác</w:t>
      </w:r>
      <w:r w:rsidRPr="00F558A8">
        <w:rPr>
          <w:sz w:val="27"/>
          <w:szCs w:val="27"/>
          <w:lang w:val="de-DE"/>
        </w:rPr>
        <w:t>.</w:t>
      </w:r>
    </w:p>
    <w:p w14:paraId="05405210" w14:textId="541E6EB8" w:rsidR="00272B34" w:rsidRPr="00F558A8" w:rsidRDefault="00A471A4" w:rsidP="00C80205">
      <w:pPr>
        <w:pStyle w:val="BodyText2"/>
        <w:spacing w:before="120"/>
        <w:ind w:firstLine="709"/>
        <w:rPr>
          <w:rFonts w:ascii="Times New Roman" w:hAnsi="Times New Roman"/>
          <w:b/>
          <w:sz w:val="27"/>
          <w:szCs w:val="27"/>
          <w:highlight w:val="white"/>
          <w:lang w:val="pt-BR"/>
        </w:rPr>
      </w:pPr>
      <w:r w:rsidRPr="00F558A8">
        <w:rPr>
          <w:rFonts w:ascii="Times New Roman" w:hAnsi="Times New Roman"/>
          <w:b/>
          <w:sz w:val="27"/>
          <w:szCs w:val="27"/>
          <w:highlight w:val="white"/>
          <w:lang w:val="pt-BR"/>
        </w:rPr>
        <w:t>3</w:t>
      </w:r>
      <w:r w:rsidR="00272B34" w:rsidRPr="00F558A8">
        <w:rPr>
          <w:rFonts w:ascii="Times New Roman" w:hAnsi="Times New Roman"/>
          <w:b/>
          <w:sz w:val="27"/>
          <w:szCs w:val="27"/>
          <w:highlight w:val="white"/>
          <w:lang w:val="pt-BR"/>
        </w:rPr>
        <w:t xml:space="preserve">. </w:t>
      </w:r>
      <w:r w:rsidR="00272B34" w:rsidRPr="00F558A8">
        <w:rPr>
          <w:rFonts w:ascii="Times New Roman" w:hAnsi="Times New Roman"/>
          <w:b/>
          <w:color w:val="000000"/>
          <w:sz w:val="27"/>
          <w:szCs w:val="27"/>
          <w:lang w:val="pt-BR"/>
        </w:rPr>
        <w:t>T</w:t>
      </w:r>
      <w:r w:rsidR="00A616A8" w:rsidRPr="00F558A8">
        <w:rPr>
          <w:rFonts w:ascii="Times New Roman" w:hAnsi="Times New Roman"/>
          <w:b/>
          <w:color w:val="000000"/>
          <w:sz w:val="27"/>
          <w:szCs w:val="27"/>
          <w:lang w:val="pt-BR"/>
        </w:rPr>
        <w:t>ổ chức và tham gia các cuộc thi</w:t>
      </w:r>
    </w:p>
    <w:p w14:paraId="0F98E4DD" w14:textId="77777777" w:rsidR="00ED48FB" w:rsidRPr="00F558A8" w:rsidRDefault="00ED48FB" w:rsidP="00C80205">
      <w:pPr>
        <w:pStyle w:val="ListParagraph"/>
        <w:spacing w:before="0"/>
        <w:ind w:left="0" w:right="70" w:firstLine="0"/>
        <w:rPr>
          <w:b/>
          <w:sz w:val="27"/>
          <w:szCs w:val="27"/>
        </w:rPr>
      </w:pPr>
      <w:r w:rsidRPr="00F558A8">
        <w:rPr>
          <w:b/>
          <w:sz w:val="27"/>
          <w:szCs w:val="27"/>
        </w:rPr>
        <w:tab/>
      </w:r>
      <w:r w:rsidR="00A471A4" w:rsidRPr="00F558A8">
        <w:rPr>
          <w:b/>
          <w:sz w:val="27"/>
          <w:szCs w:val="27"/>
        </w:rPr>
        <w:t>3.</w:t>
      </w:r>
      <w:r w:rsidRPr="00F558A8">
        <w:rPr>
          <w:b/>
          <w:sz w:val="27"/>
          <w:szCs w:val="27"/>
        </w:rPr>
        <w:t xml:space="preserve">1. Thi học sinh giỏi các cấp </w:t>
      </w:r>
    </w:p>
    <w:p w14:paraId="7790BCD6" w14:textId="0D56C68B" w:rsidR="00ED48FB" w:rsidRPr="00F558A8" w:rsidRDefault="00ED48FB" w:rsidP="00C80205">
      <w:pPr>
        <w:pStyle w:val="ListParagraph"/>
        <w:widowControl/>
        <w:spacing w:before="60"/>
        <w:ind w:left="0" w:firstLine="720"/>
        <w:rPr>
          <w:sz w:val="27"/>
          <w:szCs w:val="27"/>
          <w:lang w:val="af-ZA"/>
        </w:rPr>
      </w:pPr>
      <w:r w:rsidRPr="00F558A8">
        <w:rPr>
          <w:sz w:val="27"/>
          <w:szCs w:val="27"/>
          <w:lang w:val="af-ZA"/>
        </w:rPr>
        <w:t xml:space="preserve">Sở GDĐT đã chỉ đạo các đơn vị giáo dục tăng cường nâng cao chất lượng công tác bồi dưỡng HSG. </w:t>
      </w:r>
    </w:p>
    <w:p w14:paraId="59B3C351" w14:textId="3B65F055" w:rsidR="00CC0772" w:rsidRPr="00F558A8" w:rsidRDefault="00371478" w:rsidP="00C80205">
      <w:pPr>
        <w:pStyle w:val="ListParagraph"/>
        <w:widowControl/>
        <w:spacing w:before="0"/>
        <w:ind w:left="0" w:firstLine="720"/>
        <w:rPr>
          <w:sz w:val="27"/>
          <w:szCs w:val="27"/>
        </w:rPr>
      </w:pPr>
      <w:r w:rsidRPr="00F558A8">
        <w:rPr>
          <w:sz w:val="27"/>
          <w:szCs w:val="27"/>
          <w:lang w:val="af-ZA"/>
        </w:rPr>
        <w:t>Năm học 2019-2020, q</w:t>
      </w:r>
      <w:r w:rsidR="00ED48FB" w:rsidRPr="00F558A8">
        <w:rPr>
          <w:sz w:val="27"/>
          <w:szCs w:val="27"/>
          <w:lang w:val="af-ZA"/>
        </w:rPr>
        <w:t xml:space="preserve">ua kỳ thi chọn HSG cấp tỉnh, </w:t>
      </w:r>
      <w:r w:rsidR="00EE09AB" w:rsidRPr="00F558A8">
        <w:rPr>
          <w:sz w:val="27"/>
          <w:szCs w:val="27"/>
          <w:lang w:val="af-ZA"/>
        </w:rPr>
        <w:t>Sở đã công nhận 9</w:t>
      </w:r>
      <w:r w:rsidR="00E93251" w:rsidRPr="00F558A8">
        <w:rPr>
          <w:sz w:val="27"/>
          <w:szCs w:val="27"/>
          <w:lang w:val="af-ZA"/>
        </w:rPr>
        <w:t>58</w:t>
      </w:r>
      <w:r w:rsidR="00EE09AB" w:rsidRPr="00F558A8">
        <w:rPr>
          <w:sz w:val="27"/>
          <w:szCs w:val="27"/>
          <w:lang w:val="af-ZA"/>
        </w:rPr>
        <w:t xml:space="preserve"> học sinh đạt HSG cấp tỉnh khối THPT </w:t>
      </w:r>
      <w:r w:rsidR="00E93251" w:rsidRPr="00F558A8">
        <w:rPr>
          <w:sz w:val="27"/>
          <w:szCs w:val="27"/>
          <w:lang w:val="af-ZA"/>
        </w:rPr>
        <w:t xml:space="preserve">các môn văn hóa </w:t>
      </w:r>
      <w:r w:rsidR="00EE09AB" w:rsidRPr="00F558A8">
        <w:rPr>
          <w:sz w:val="27"/>
          <w:szCs w:val="27"/>
          <w:lang w:val="af-ZA"/>
        </w:rPr>
        <w:t xml:space="preserve">gồm: </w:t>
      </w:r>
      <w:r w:rsidR="00EE09AB" w:rsidRPr="00F558A8">
        <w:rPr>
          <w:sz w:val="27"/>
          <w:szCs w:val="27"/>
        </w:rPr>
        <w:t>3</w:t>
      </w:r>
      <w:r w:rsidR="00E93251" w:rsidRPr="00F558A8">
        <w:rPr>
          <w:sz w:val="27"/>
          <w:szCs w:val="27"/>
        </w:rPr>
        <w:t>3</w:t>
      </w:r>
      <w:r w:rsidR="00EE09AB" w:rsidRPr="00F558A8">
        <w:rPr>
          <w:sz w:val="27"/>
          <w:szCs w:val="27"/>
        </w:rPr>
        <w:t xml:space="preserve"> giải Nhất, 1</w:t>
      </w:r>
      <w:r w:rsidR="00E93251" w:rsidRPr="00F558A8">
        <w:rPr>
          <w:sz w:val="27"/>
          <w:szCs w:val="27"/>
        </w:rPr>
        <w:t>6</w:t>
      </w:r>
      <w:r w:rsidR="00EE09AB" w:rsidRPr="00F558A8">
        <w:rPr>
          <w:sz w:val="27"/>
          <w:szCs w:val="27"/>
        </w:rPr>
        <w:t xml:space="preserve">4 giải Nhì, </w:t>
      </w:r>
      <w:r w:rsidR="00E93251" w:rsidRPr="00F558A8">
        <w:rPr>
          <w:sz w:val="27"/>
          <w:szCs w:val="27"/>
        </w:rPr>
        <w:t>349</w:t>
      </w:r>
      <w:r w:rsidR="00EE09AB" w:rsidRPr="00F558A8">
        <w:rPr>
          <w:sz w:val="27"/>
          <w:szCs w:val="27"/>
        </w:rPr>
        <w:t xml:space="preserve"> giải Ba và 41</w:t>
      </w:r>
      <w:r w:rsidR="00E93251" w:rsidRPr="00F558A8">
        <w:rPr>
          <w:sz w:val="27"/>
          <w:szCs w:val="27"/>
        </w:rPr>
        <w:t>2</w:t>
      </w:r>
      <w:r w:rsidR="00EE09AB" w:rsidRPr="00F558A8">
        <w:rPr>
          <w:sz w:val="27"/>
          <w:szCs w:val="27"/>
        </w:rPr>
        <w:t xml:space="preserve"> giải Khuyến khích</w:t>
      </w:r>
      <w:r w:rsidR="00E93251" w:rsidRPr="00F558A8">
        <w:rPr>
          <w:sz w:val="27"/>
          <w:szCs w:val="27"/>
        </w:rPr>
        <w:t xml:space="preserve">. </w:t>
      </w:r>
    </w:p>
    <w:p w14:paraId="06A953AF" w14:textId="1E20B529" w:rsidR="00ED48FB" w:rsidRPr="00F558A8" w:rsidRDefault="00CC0772" w:rsidP="00C80205">
      <w:pPr>
        <w:pStyle w:val="ListParagraph"/>
        <w:widowControl/>
        <w:spacing w:before="0"/>
        <w:ind w:left="0" w:firstLine="720"/>
        <w:rPr>
          <w:sz w:val="27"/>
          <w:szCs w:val="27"/>
        </w:rPr>
      </w:pPr>
      <w:r w:rsidRPr="00F558A8">
        <w:rPr>
          <w:sz w:val="27"/>
          <w:szCs w:val="27"/>
        </w:rPr>
        <w:t xml:space="preserve">Các Phòng GDĐT đã </w:t>
      </w:r>
      <w:r w:rsidR="009674A5" w:rsidRPr="00F558A8">
        <w:rPr>
          <w:sz w:val="27"/>
          <w:szCs w:val="27"/>
        </w:rPr>
        <w:t xml:space="preserve">quan tâm, </w:t>
      </w:r>
      <w:r w:rsidRPr="00F558A8">
        <w:rPr>
          <w:sz w:val="27"/>
          <w:szCs w:val="27"/>
        </w:rPr>
        <w:t xml:space="preserve">tích cực tổ chức kỳ thi HSG cấp huyện nhưng kỳ </w:t>
      </w:r>
      <w:r w:rsidR="00E93251" w:rsidRPr="00F558A8">
        <w:rPr>
          <w:sz w:val="27"/>
          <w:szCs w:val="27"/>
        </w:rPr>
        <w:t xml:space="preserve">thi </w:t>
      </w:r>
      <w:r w:rsidR="00ED48FB" w:rsidRPr="00F558A8">
        <w:rPr>
          <w:sz w:val="27"/>
          <w:szCs w:val="27"/>
          <w:lang w:val="af-ZA"/>
        </w:rPr>
        <w:t xml:space="preserve">HSG cấp tỉnh khối THCS </w:t>
      </w:r>
      <w:r w:rsidR="00E93251" w:rsidRPr="00F558A8">
        <w:rPr>
          <w:sz w:val="27"/>
          <w:szCs w:val="27"/>
          <w:lang w:val="af-ZA"/>
        </w:rPr>
        <w:t xml:space="preserve">không tổ chức </w:t>
      </w:r>
      <w:r w:rsidRPr="00F558A8">
        <w:rPr>
          <w:sz w:val="27"/>
          <w:szCs w:val="27"/>
          <w:lang w:val="af-ZA"/>
        </w:rPr>
        <w:t xml:space="preserve">được </w:t>
      </w:r>
      <w:r w:rsidR="00E93251" w:rsidRPr="00F558A8">
        <w:rPr>
          <w:sz w:val="27"/>
          <w:szCs w:val="27"/>
          <w:lang w:val="af-ZA"/>
        </w:rPr>
        <w:t>do dịch CoVid</w:t>
      </w:r>
      <w:r w:rsidRPr="00F558A8">
        <w:rPr>
          <w:sz w:val="27"/>
          <w:szCs w:val="27"/>
          <w:lang w:val="af-ZA"/>
        </w:rPr>
        <w:t>-19</w:t>
      </w:r>
      <w:r w:rsidR="00ED48FB" w:rsidRPr="00F558A8">
        <w:rPr>
          <w:sz w:val="27"/>
          <w:szCs w:val="27"/>
        </w:rPr>
        <w:t xml:space="preserve">. </w:t>
      </w:r>
    </w:p>
    <w:p w14:paraId="28FC1075" w14:textId="46A945F9" w:rsidR="00ED48FB" w:rsidRPr="00F558A8" w:rsidRDefault="00ED48FB" w:rsidP="00C80205">
      <w:pPr>
        <w:pStyle w:val="ListParagraph"/>
        <w:widowControl/>
        <w:spacing w:before="0"/>
        <w:ind w:left="0" w:firstLine="720"/>
        <w:rPr>
          <w:b/>
          <w:sz w:val="27"/>
          <w:szCs w:val="27"/>
        </w:rPr>
      </w:pPr>
      <w:r w:rsidRPr="00F558A8">
        <w:rPr>
          <w:sz w:val="27"/>
          <w:szCs w:val="27"/>
          <w:lang w:val="af-ZA"/>
        </w:rPr>
        <w:t>Tham gia dự thi học sinh giỏi lớp 12 quốc gia</w:t>
      </w:r>
      <w:r w:rsidR="008142A0" w:rsidRPr="00F558A8">
        <w:rPr>
          <w:sz w:val="27"/>
          <w:szCs w:val="27"/>
          <w:lang w:val="af-ZA"/>
        </w:rPr>
        <w:t xml:space="preserve">, kết quả có </w:t>
      </w:r>
      <w:r w:rsidR="007B2B09" w:rsidRPr="00F558A8">
        <w:rPr>
          <w:sz w:val="27"/>
          <w:szCs w:val="27"/>
          <w:lang w:val="af-ZA"/>
        </w:rPr>
        <w:t>52</w:t>
      </w:r>
      <w:r w:rsidRPr="00F558A8">
        <w:rPr>
          <w:sz w:val="27"/>
          <w:szCs w:val="27"/>
          <w:lang w:val="af-ZA"/>
        </w:rPr>
        <w:t xml:space="preserve"> giải HSG trong đó: </w:t>
      </w:r>
      <w:r w:rsidR="007B2B09" w:rsidRPr="00F558A8">
        <w:rPr>
          <w:sz w:val="27"/>
          <w:szCs w:val="27"/>
          <w:lang w:val="af-ZA"/>
        </w:rPr>
        <w:t xml:space="preserve">3 giải Nhất, </w:t>
      </w:r>
      <w:r w:rsidR="007B2B09" w:rsidRPr="00F558A8">
        <w:rPr>
          <w:sz w:val="27"/>
          <w:szCs w:val="27"/>
        </w:rPr>
        <w:t>1</w:t>
      </w:r>
      <w:r w:rsidR="00E93251" w:rsidRPr="00F558A8">
        <w:rPr>
          <w:sz w:val="27"/>
          <w:szCs w:val="27"/>
        </w:rPr>
        <w:t>3</w:t>
      </w:r>
      <w:r w:rsidRPr="00F558A8">
        <w:rPr>
          <w:sz w:val="27"/>
          <w:szCs w:val="27"/>
        </w:rPr>
        <w:t xml:space="preserve"> giải Nhì, </w:t>
      </w:r>
      <w:r w:rsidR="007B2B09" w:rsidRPr="00F558A8">
        <w:rPr>
          <w:sz w:val="27"/>
          <w:szCs w:val="27"/>
        </w:rPr>
        <w:t>1</w:t>
      </w:r>
      <w:r w:rsidR="00E93251" w:rsidRPr="00F558A8">
        <w:rPr>
          <w:sz w:val="27"/>
          <w:szCs w:val="27"/>
        </w:rPr>
        <w:t>8</w:t>
      </w:r>
      <w:r w:rsidRPr="00F558A8">
        <w:rPr>
          <w:sz w:val="27"/>
          <w:szCs w:val="27"/>
        </w:rPr>
        <w:t xml:space="preserve"> </w:t>
      </w:r>
      <w:r w:rsidR="00D03F03" w:rsidRPr="00F558A8">
        <w:rPr>
          <w:sz w:val="27"/>
          <w:szCs w:val="27"/>
        </w:rPr>
        <w:t xml:space="preserve">giải Ba và </w:t>
      </w:r>
      <w:r w:rsidR="00E93251" w:rsidRPr="00F558A8">
        <w:rPr>
          <w:sz w:val="27"/>
          <w:szCs w:val="27"/>
        </w:rPr>
        <w:t>18</w:t>
      </w:r>
      <w:r w:rsidR="00D03F03" w:rsidRPr="00F558A8">
        <w:rPr>
          <w:sz w:val="27"/>
          <w:szCs w:val="27"/>
        </w:rPr>
        <w:t xml:space="preserve"> giải Khuyến khích</w:t>
      </w:r>
      <w:r w:rsidR="008142A0" w:rsidRPr="00F558A8">
        <w:rPr>
          <w:sz w:val="27"/>
          <w:szCs w:val="27"/>
          <w:lang w:val="af-ZA"/>
        </w:rPr>
        <w:t>.</w:t>
      </w:r>
      <w:r w:rsidRPr="00F558A8">
        <w:rPr>
          <w:sz w:val="27"/>
          <w:szCs w:val="27"/>
          <w:lang w:val="af-ZA"/>
        </w:rPr>
        <w:t xml:space="preserve"> </w:t>
      </w:r>
      <w:r w:rsidR="00CC0772" w:rsidRPr="00F558A8">
        <w:rPr>
          <w:sz w:val="27"/>
          <w:szCs w:val="27"/>
        </w:rPr>
        <w:t>Có 8 học sinh được gọi vào vòng 2 chọn đội tuyển quốc tế.</w:t>
      </w:r>
      <w:r w:rsidR="00CC0772" w:rsidRPr="00F558A8">
        <w:rPr>
          <w:sz w:val="27"/>
          <w:szCs w:val="27"/>
          <w:lang w:val="af-ZA"/>
        </w:rPr>
        <w:t xml:space="preserve"> </w:t>
      </w:r>
      <w:r w:rsidR="00817B65" w:rsidRPr="00F558A8">
        <w:rPr>
          <w:sz w:val="27"/>
          <w:szCs w:val="27"/>
          <w:lang w:val="af-ZA"/>
        </w:rPr>
        <w:t>Một h</w:t>
      </w:r>
      <w:r w:rsidR="001D4E84" w:rsidRPr="00F558A8">
        <w:rPr>
          <w:sz w:val="27"/>
          <w:szCs w:val="27"/>
          <w:lang w:val="af-ZA"/>
        </w:rPr>
        <w:t>ọ</w:t>
      </w:r>
      <w:r w:rsidR="007B2B09" w:rsidRPr="00F558A8">
        <w:rPr>
          <w:sz w:val="27"/>
          <w:szCs w:val="27"/>
          <w:lang w:val="af-ZA"/>
        </w:rPr>
        <w:t xml:space="preserve">c </w:t>
      </w:r>
      <w:r w:rsidR="001A25D1" w:rsidRPr="00F558A8">
        <w:rPr>
          <w:sz w:val="27"/>
          <w:szCs w:val="27"/>
          <w:lang w:val="af-ZA"/>
        </w:rPr>
        <w:t>s</w:t>
      </w:r>
      <w:r w:rsidR="007B2B09" w:rsidRPr="00F558A8">
        <w:rPr>
          <w:sz w:val="27"/>
          <w:szCs w:val="27"/>
          <w:lang w:val="af-ZA"/>
        </w:rPr>
        <w:t xml:space="preserve">inh đoạt </w:t>
      </w:r>
      <w:r w:rsidR="0052454A" w:rsidRPr="00F558A8">
        <w:rPr>
          <w:sz w:val="27"/>
          <w:szCs w:val="27"/>
          <w:lang w:val="af-ZA"/>
        </w:rPr>
        <w:t xml:space="preserve">Huy chương </w:t>
      </w:r>
      <w:r w:rsidR="00E93251" w:rsidRPr="00F558A8">
        <w:rPr>
          <w:sz w:val="27"/>
          <w:szCs w:val="27"/>
          <w:lang w:val="af-ZA"/>
        </w:rPr>
        <w:t>Vàng</w:t>
      </w:r>
      <w:r w:rsidR="0052454A" w:rsidRPr="00F558A8">
        <w:rPr>
          <w:sz w:val="27"/>
          <w:szCs w:val="27"/>
          <w:lang w:val="af-ZA"/>
        </w:rPr>
        <w:t xml:space="preserve"> </w:t>
      </w:r>
      <w:r w:rsidR="00E93251" w:rsidRPr="00F558A8">
        <w:rPr>
          <w:sz w:val="27"/>
          <w:szCs w:val="27"/>
          <w:lang w:val="af-ZA"/>
        </w:rPr>
        <w:t>Olympic quốc tế môn Sinh học</w:t>
      </w:r>
      <w:r w:rsidR="0052454A" w:rsidRPr="00F558A8">
        <w:rPr>
          <w:sz w:val="27"/>
          <w:szCs w:val="27"/>
          <w:lang w:val="af-ZA"/>
        </w:rPr>
        <w:t>.</w:t>
      </w:r>
    </w:p>
    <w:p w14:paraId="69100E9A" w14:textId="77777777" w:rsidR="00ED48FB" w:rsidRPr="00F558A8" w:rsidRDefault="00A471A4" w:rsidP="00C80205">
      <w:pPr>
        <w:pStyle w:val="ListParagraph"/>
        <w:spacing w:before="0"/>
        <w:ind w:left="0" w:right="70" w:firstLine="720"/>
        <w:rPr>
          <w:b/>
          <w:sz w:val="27"/>
          <w:szCs w:val="27"/>
        </w:rPr>
      </w:pPr>
      <w:r w:rsidRPr="00F558A8">
        <w:rPr>
          <w:b/>
          <w:sz w:val="27"/>
          <w:szCs w:val="27"/>
        </w:rPr>
        <w:t>3.</w:t>
      </w:r>
      <w:r w:rsidR="00ED48FB" w:rsidRPr="00F558A8">
        <w:rPr>
          <w:b/>
          <w:sz w:val="27"/>
          <w:szCs w:val="27"/>
        </w:rPr>
        <w:t>2. Cuộc thi KHKT dành cho học sinh trung học</w:t>
      </w:r>
    </w:p>
    <w:p w14:paraId="280D0955" w14:textId="34908B79" w:rsidR="00125EEF" w:rsidRPr="00F558A8" w:rsidRDefault="00125EEF" w:rsidP="00C80205">
      <w:pPr>
        <w:ind w:firstLine="720"/>
        <w:jc w:val="both"/>
        <w:rPr>
          <w:sz w:val="27"/>
          <w:szCs w:val="27"/>
        </w:rPr>
      </w:pPr>
      <w:r w:rsidRPr="00F558A8">
        <w:rPr>
          <w:sz w:val="27"/>
          <w:szCs w:val="27"/>
        </w:rPr>
        <w:t>Cuộc thi KHKT cấp tỉnh có 1</w:t>
      </w:r>
      <w:r w:rsidR="007D27D2" w:rsidRPr="00F558A8">
        <w:rPr>
          <w:sz w:val="27"/>
          <w:szCs w:val="27"/>
        </w:rPr>
        <w:t>3</w:t>
      </w:r>
      <w:r w:rsidR="00F5550B" w:rsidRPr="00F558A8">
        <w:rPr>
          <w:sz w:val="27"/>
          <w:szCs w:val="27"/>
        </w:rPr>
        <w:t>3</w:t>
      </w:r>
      <w:r w:rsidRPr="00F558A8">
        <w:rPr>
          <w:sz w:val="27"/>
          <w:szCs w:val="27"/>
        </w:rPr>
        <w:t xml:space="preserve"> dự án dự thi (</w:t>
      </w:r>
      <w:r w:rsidR="00F5550B" w:rsidRPr="00F558A8">
        <w:rPr>
          <w:sz w:val="27"/>
          <w:szCs w:val="27"/>
          <w:bdr w:val="none" w:sz="0" w:space="0" w:color="auto" w:frame="1"/>
          <w:shd w:val="clear" w:color="auto" w:fill="FFFFFF"/>
        </w:rPr>
        <w:t>44 đề tài của học sinh THCS, 89 đề tài của học sinh THPT)</w:t>
      </w:r>
      <w:r w:rsidR="007D27D2" w:rsidRPr="00F558A8">
        <w:rPr>
          <w:sz w:val="27"/>
          <w:szCs w:val="27"/>
        </w:rPr>
        <w:t xml:space="preserve"> của </w:t>
      </w:r>
      <w:r w:rsidR="00F5550B" w:rsidRPr="00F558A8">
        <w:rPr>
          <w:rStyle w:val="FooterChar"/>
          <w:rFonts w:eastAsia="Arial"/>
          <w:sz w:val="27"/>
          <w:szCs w:val="27"/>
        </w:rPr>
        <w:t>71</w:t>
      </w:r>
      <w:r w:rsidR="007D27D2" w:rsidRPr="00F558A8">
        <w:rPr>
          <w:rStyle w:val="FooterChar"/>
          <w:rFonts w:eastAsia="Arial"/>
          <w:sz w:val="27"/>
          <w:szCs w:val="27"/>
        </w:rPr>
        <w:t xml:space="preserve"> trường tham gia (trong đó có 3</w:t>
      </w:r>
      <w:r w:rsidR="00F5550B" w:rsidRPr="00F558A8">
        <w:rPr>
          <w:rStyle w:val="FooterChar"/>
          <w:rFonts w:eastAsia="Arial"/>
          <w:sz w:val="27"/>
          <w:szCs w:val="27"/>
        </w:rPr>
        <w:t>8</w:t>
      </w:r>
      <w:r w:rsidR="007D27D2" w:rsidRPr="00F558A8">
        <w:rPr>
          <w:rStyle w:val="FooterChar"/>
          <w:rFonts w:eastAsia="Arial"/>
          <w:sz w:val="27"/>
          <w:szCs w:val="27"/>
        </w:rPr>
        <w:t xml:space="preserve"> trường THCS và 3</w:t>
      </w:r>
      <w:r w:rsidR="00F5550B" w:rsidRPr="00F558A8">
        <w:rPr>
          <w:rStyle w:val="FooterChar"/>
          <w:rFonts w:eastAsia="Arial"/>
          <w:sz w:val="27"/>
          <w:szCs w:val="27"/>
        </w:rPr>
        <w:t>3</w:t>
      </w:r>
      <w:r w:rsidR="007D27D2" w:rsidRPr="00F558A8">
        <w:rPr>
          <w:rStyle w:val="FooterChar"/>
          <w:rFonts w:eastAsia="Arial"/>
          <w:sz w:val="27"/>
          <w:szCs w:val="27"/>
        </w:rPr>
        <w:t xml:space="preserve"> trường THPT)</w:t>
      </w:r>
      <w:r w:rsidR="00452E5E" w:rsidRPr="00F558A8">
        <w:rPr>
          <w:rStyle w:val="FooterChar"/>
          <w:rFonts w:eastAsia="Arial"/>
          <w:sz w:val="27"/>
          <w:szCs w:val="27"/>
        </w:rPr>
        <w:t>. K</w:t>
      </w:r>
      <w:r w:rsidRPr="00F558A8">
        <w:rPr>
          <w:sz w:val="27"/>
          <w:szCs w:val="27"/>
        </w:rPr>
        <w:t>ết quả có 6</w:t>
      </w:r>
      <w:r w:rsidR="00452E5E" w:rsidRPr="00F558A8">
        <w:rPr>
          <w:sz w:val="27"/>
          <w:szCs w:val="27"/>
        </w:rPr>
        <w:t>9</w:t>
      </w:r>
      <w:r w:rsidRPr="00F558A8">
        <w:rPr>
          <w:sz w:val="27"/>
          <w:szCs w:val="27"/>
        </w:rPr>
        <w:t xml:space="preserve"> dự án đạt giải lĩnh vực (</w:t>
      </w:r>
      <w:r w:rsidR="00D50ABA" w:rsidRPr="00F558A8">
        <w:rPr>
          <w:color w:val="000000"/>
          <w:sz w:val="27"/>
          <w:szCs w:val="27"/>
        </w:rPr>
        <w:t>Giải Nhất:</w:t>
      </w:r>
      <w:r w:rsidR="00D50ABA" w:rsidRPr="00F558A8">
        <w:rPr>
          <w:color w:val="000000"/>
          <w:sz w:val="27"/>
          <w:szCs w:val="27"/>
          <w:lang w:val="vi-VN"/>
        </w:rPr>
        <w:t xml:space="preserve"> 7 giải </w:t>
      </w:r>
      <w:r w:rsidR="00D50ABA" w:rsidRPr="00F558A8">
        <w:rPr>
          <w:color w:val="000000"/>
          <w:sz w:val="27"/>
          <w:szCs w:val="27"/>
        </w:rPr>
        <w:t xml:space="preserve">Nhất, </w:t>
      </w:r>
      <w:r w:rsidR="00D50ABA" w:rsidRPr="00F558A8">
        <w:rPr>
          <w:color w:val="000000"/>
          <w:sz w:val="27"/>
          <w:szCs w:val="27"/>
          <w:lang w:val="vi-VN"/>
        </w:rPr>
        <w:t xml:space="preserve">14 giải </w:t>
      </w:r>
      <w:r w:rsidR="00D50ABA" w:rsidRPr="00F558A8">
        <w:rPr>
          <w:color w:val="000000"/>
          <w:sz w:val="27"/>
          <w:szCs w:val="27"/>
        </w:rPr>
        <w:t xml:space="preserve">Nhì, </w:t>
      </w:r>
      <w:r w:rsidR="00D50ABA" w:rsidRPr="00F558A8">
        <w:rPr>
          <w:color w:val="000000"/>
          <w:sz w:val="27"/>
          <w:szCs w:val="27"/>
          <w:lang w:val="vi-VN"/>
        </w:rPr>
        <w:t>2</w:t>
      </w:r>
      <w:r w:rsidR="00D50ABA" w:rsidRPr="00F558A8">
        <w:rPr>
          <w:color w:val="000000"/>
          <w:sz w:val="27"/>
          <w:szCs w:val="27"/>
        </w:rPr>
        <w:t>1</w:t>
      </w:r>
      <w:r w:rsidR="00D50ABA" w:rsidRPr="00F558A8">
        <w:rPr>
          <w:color w:val="000000"/>
          <w:sz w:val="27"/>
          <w:szCs w:val="27"/>
          <w:lang w:val="vi-VN"/>
        </w:rPr>
        <w:t xml:space="preserve"> giải </w:t>
      </w:r>
      <w:r w:rsidR="00D50ABA" w:rsidRPr="00F558A8">
        <w:rPr>
          <w:color w:val="000000"/>
          <w:sz w:val="27"/>
          <w:szCs w:val="27"/>
        </w:rPr>
        <w:t xml:space="preserve">Ba và 26 giải Tư </w:t>
      </w:r>
      <w:r w:rsidRPr="00F558A8">
        <w:rPr>
          <w:color w:val="000000"/>
          <w:sz w:val="27"/>
          <w:szCs w:val="27"/>
        </w:rPr>
        <w:t xml:space="preserve">và đã chọn các dự án của </w:t>
      </w:r>
      <w:r w:rsidR="00D50ABA" w:rsidRPr="00F558A8">
        <w:rPr>
          <w:color w:val="000000"/>
          <w:sz w:val="27"/>
          <w:szCs w:val="27"/>
        </w:rPr>
        <w:t>2</w:t>
      </w:r>
      <w:r w:rsidRPr="00F558A8">
        <w:rPr>
          <w:color w:val="000000"/>
          <w:sz w:val="27"/>
          <w:szCs w:val="27"/>
        </w:rPr>
        <w:t xml:space="preserve"> trường tham dự</w:t>
      </w:r>
      <w:r w:rsidRPr="00F558A8">
        <w:rPr>
          <w:sz w:val="27"/>
          <w:szCs w:val="27"/>
        </w:rPr>
        <w:t xml:space="preserve"> cấp quốc gia (THPT chuyên Quốc Học</w:t>
      </w:r>
      <w:r w:rsidR="00452E5E" w:rsidRPr="00F558A8">
        <w:rPr>
          <w:sz w:val="27"/>
          <w:szCs w:val="27"/>
        </w:rPr>
        <w:t xml:space="preserve">, THPT </w:t>
      </w:r>
      <w:r w:rsidR="00D50ABA" w:rsidRPr="00F558A8">
        <w:rPr>
          <w:sz w:val="27"/>
          <w:szCs w:val="27"/>
        </w:rPr>
        <w:t>A Lưới)</w:t>
      </w:r>
      <w:r w:rsidRPr="00F558A8">
        <w:rPr>
          <w:sz w:val="27"/>
          <w:szCs w:val="27"/>
        </w:rPr>
        <w:t>.</w:t>
      </w:r>
    </w:p>
    <w:p w14:paraId="172BBE20" w14:textId="77777777" w:rsidR="00ED48FB" w:rsidRPr="00F558A8" w:rsidRDefault="00ED48FB" w:rsidP="00C80205">
      <w:pPr>
        <w:pStyle w:val="ListParagraph"/>
        <w:spacing w:before="0"/>
        <w:ind w:left="0" w:right="70" w:firstLine="0"/>
        <w:rPr>
          <w:b/>
          <w:sz w:val="27"/>
          <w:szCs w:val="27"/>
        </w:rPr>
      </w:pPr>
      <w:r w:rsidRPr="00F558A8">
        <w:rPr>
          <w:b/>
          <w:sz w:val="27"/>
          <w:szCs w:val="27"/>
        </w:rPr>
        <w:tab/>
      </w:r>
      <w:r w:rsidR="00A471A4" w:rsidRPr="00F558A8">
        <w:rPr>
          <w:b/>
          <w:sz w:val="27"/>
          <w:szCs w:val="27"/>
        </w:rPr>
        <w:t>3.</w:t>
      </w:r>
      <w:r w:rsidRPr="00F558A8">
        <w:rPr>
          <w:b/>
          <w:sz w:val="27"/>
          <w:szCs w:val="27"/>
        </w:rPr>
        <w:t>3. Cuộc thi giải toán trên máy tính cầm tay</w:t>
      </w:r>
    </w:p>
    <w:p w14:paraId="0429869A" w14:textId="6BD2B42B" w:rsidR="00ED48FB" w:rsidRPr="00F558A8" w:rsidRDefault="00ED48FB" w:rsidP="00C80205">
      <w:pPr>
        <w:pStyle w:val="ListParagraph"/>
        <w:widowControl/>
        <w:spacing w:before="0"/>
        <w:ind w:left="0" w:firstLine="720"/>
        <w:rPr>
          <w:sz w:val="27"/>
          <w:szCs w:val="27"/>
        </w:rPr>
      </w:pPr>
      <w:r w:rsidRPr="00F558A8">
        <w:rPr>
          <w:sz w:val="27"/>
          <w:szCs w:val="27"/>
        </w:rPr>
        <w:t xml:space="preserve">Tham gia Cuộc thi giải toán trên </w:t>
      </w:r>
      <w:r w:rsidR="00125EEF" w:rsidRPr="00F558A8">
        <w:rPr>
          <w:sz w:val="27"/>
          <w:szCs w:val="27"/>
        </w:rPr>
        <w:t xml:space="preserve">máy tính cầm tay cấp tỉnh có </w:t>
      </w:r>
      <w:r w:rsidR="00FA5597" w:rsidRPr="00F558A8">
        <w:rPr>
          <w:sz w:val="27"/>
          <w:szCs w:val="27"/>
        </w:rPr>
        <w:t>3</w:t>
      </w:r>
      <w:r w:rsidR="00A27C6E" w:rsidRPr="00F558A8">
        <w:rPr>
          <w:sz w:val="27"/>
          <w:szCs w:val="27"/>
        </w:rPr>
        <w:t>2</w:t>
      </w:r>
      <w:r w:rsidR="00FA5597" w:rsidRPr="00F558A8">
        <w:rPr>
          <w:sz w:val="27"/>
          <w:szCs w:val="27"/>
        </w:rPr>
        <w:t xml:space="preserve">/38 </w:t>
      </w:r>
      <w:r w:rsidRPr="00F558A8">
        <w:rPr>
          <w:sz w:val="27"/>
          <w:szCs w:val="27"/>
        </w:rPr>
        <w:t>trường THPT, 09 phòng GDĐT và trường THCS Nguyễn Tri Phươn</w:t>
      </w:r>
      <w:r w:rsidR="008B1359" w:rsidRPr="00F558A8">
        <w:rPr>
          <w:sz w:val="27"/>
          <w:szCs w:val="27"/>
        </w:rPr>
        <w:t>g</w:t>
      </w:r>
      <w:r w:rsidR="00A27C6E" w:rsidRPr="00F558A8">
        <w:rPr>
          <w:sz w:val="27"/>
          <w:szCs w:val="27"/>
        </w:rPr>
        <w:t>-</w:t>
      </w:r>
      <w:r w:rsidR="008B1359" w:rsidRPr="00F558A8">
        <w:rPr>
          <w:sz w:val="27"/>
          <w:szCs w:val="27"/>
        </w:rPr>
        <w:t>Huế</w:t>
      </w:r>
      <w:r w:rsidRPr="00F558A8">
        <w:rPr>
          <w:sz w:val="27"/>
          <w:szCs w:val="27"/>
        </w:rPr>
        <w:t xml:space="preserve">, </w:t>
      </w:r>
      <w:r w:rsidR="008B1359" w:rsidRPr="00F558A8">
        <w:rPr>
          <w:sz w:val="27"/>
          <w:szCs w:val="27"/>
        </w:rPr>
        <w:t xml:space="preserve">và </w:t>
      </w:r>
      <w:r w:rsidR="00FA5597" w:rsidRPr="00F558A8">
        <w:rPr>
          <w:sz w:val="27"/>
          <w:szCs w:val="27"/>
        </w:rPr>
        <w:t>các</w:t>
      </w:r>
      <w:r w:rsidR="008B1359" w:rsidRPr="00F558A8">
        <w:rPr>
          <w:sz w:val="27"/>
          <w:szCs w:val="27"/>
        </w:rPr>
        <w:t xml:space="preserve"> </w:t>
      </w:r>
      <w:r w:rsidR="008B1359" w:rsidRPr="00F558A8">
        <w:rPr>
          <w:sz w:val="27"/>
          <w:szCs w:val="27"/>
          <w:lang w:val="af-ZA"/>
        </w:rPr>
        <w:t>TT</w:t>
      </w:r>
      <w:r w:rsidR="00FA5597" w:rsidRPr="00F558A8">
        <w:rPr>
          <w:sz w:val="27"/>
          <w:szCs w:val="27"/>
          <w:lang w:val="af-ZA"/>
        </w:rPr>
        <w:t xml:space="preserve"> GDNN-</w:t>
      </w:r>
      <w:r w:rsidR="008B1359" w:rsidRPr="00F558A8">
        <w:rPr>
          <w:sz w:val="27"/>
          <w:szCs w:val="27"/>
          <w:lang w:val="af-ZA"/>
        </w:rPr>
        <w:t xml:space="preserve">GDTX, </w:t>
      </w:r>
      <w:r w:rsidRPr="00F558A8">
        <w:rPr>
          <w:sz w:val="27"/>
          <w:szCs w:val="27"/>
        </w:rPr>
        <w:t>kết quả c</w:t>
      </w:r>
      <w:r w:rsidR="008B1359" w:rsidRPr="00F558A8">
        <w:rPr>
          <w:sz w:val="27"/>
          <w:szCs w:val="27"/>
        </w:rPr>
        <w:t xml:space="preserve">ó </w:t>
      </w:r>
      <w:r w:rsidR="00A27C6E" w:rsidRPr="00F558A8">
        <w:rPr>
          <w:sz w:val="27"/>
          <w:szCs w:val="27"/>
        </w:rPr>
        <w:t>205</w:t>
      </w:r>
      <w:r w:rsidR="00FA5597" w:rsidRPr="00F558A8">
        <w:rPr>
          <w:sz w:val="27"/>
          <w:szCs w:val="27"/>
        </w:rPr>
        <w:t xml:space="preserve"> giải </w:t>
      </w:r>
      <w:r w:rsidR="00FA5597" w:rsidRPr="00F558A8">
        <w:rPr>
          <w:sz w:val="27"/>
          <w:szCs w:val="27"/>
          <w:lang w:val="af-ZA"/>
        </w:rPr>
        <w:t>(THPT: 1</w:t>
      </w:r>
      <w:r w:rsidR="00A27C6E" w:rsidRPr="00F558A8">
        <w:rPr>
          <w:sz w:val="27"/>
          <w:szCs w:val="27"/>
          <w:lang w:val="af-ZA"/>
        </w:rPr>
        <w:t>14</w:t>
      </w:r>
      <w:r w:rsidR="00FA5597" w:rsidRPr="00F558A8">
        <w:rPr>
          <w:sz w:val="27"/>
          <w:szCs w:val="27"/>
          <w:lang w:val="af-ZA"/>
        </w:rPr>
        <w:t xml:space="preserve">; THCS: </w:t>
      </w:r>
      <w:r w:rsidR="00A27C6E" w:rsidRPr="00F558A8">
        <w:rPr>
          <w:sz w:val="27"/>
          <w:szCs w:val="27"/>
          <w:lang w:val="af-ZA"/>
        </w:rPr>
        <w:t>85</w:t>
      </w:r>
      <w:r w:rsidR="00FA5597" w:rsidRPr="00F558A8">
        <w:rPr>
          <w:sz w:val="27"/>
          <w:szCs w:val="27"/>
          <w:lang w:val="af-ZA"/>
        </w:rPr>
        <w:t xml:space="preserve">; GDNN-GDTX: </w:t>
      </w:r>
      <w:r w:rsidR="00A27C6E" w:rsidRPr="00F558A8">
        <w:rPr>
          <w:sz w:val="27"/>
          <w:szCs w:val="27"/>
          <w:lang w:val="af-ZA"/>
        </w:rPr>
        <w:t>6</w:t>
      </w:r>
      <w:r w:rsidR="00FA5597" w:rsidRPr="00F558A8">
        <w:rPr>
          <w:sz w:val="27"/>
          <w:szCs w:val="27"/>
          <w:lang w:val="af-ZA"/>
        </w:rPr>
        <w:t xml:space="preserve">), </w:t>
      </w:r>
      <w:r w:rsidR="00FA5597" w:rsidRPr="00F558A8">
        <w:rPr>
          <w:sz w:val="27"/>
          <w:szCs w:val="27"/>
        </w:rPr>
        <w:t>trong đó: 0</w:t>
      </w:r>
      <w:r w:rsidR="00A27C6E" w:rsidRPr="00F558A8">
        <w:rPr>
          <w:sz w:val="27"/>
          <w:szCs w:val="27"/>
        </w:rPr>
        <w:t>4</w:t>
      </w:r>
      <w:r w:rsidR="00FA5597" w:rsidRPr="00F558A8">
        <w:rPr>
          <w:sz w:val="27"/>
          <w:szCs w:val="27"/>
        </w:rPr>
        <w:t xml:space="preserve"> giải Nhất, </w:t>
      </w:r>
      <w:r w:rsidR="00A27C6E" w:rsidRPr="00F558A8">
        <w:rPr>
          <w:sz w:val="27"/>
          <w:szCs w:val="27"/>
        </w:rPr>
        <w:t>34</w:t>
      </w:r>
      <w:r w:rsidR="00FA5597" w:rsidRPr="00F558A8">
        <w:rPr>
          <w:sz w:val="27"/>
          <w:szCs w:val="27"/>
        </w:rPr>
        <w:t xml:space="preserve"> giải Nhì, </w:t>
      </w:r>
      <w:r w:rsidR="00A27C6E" w:rsidRPr="00F558A8">
        <w:rPr>
          <w:sz w:val="27"/>
          <w:szCs w:val="27"/>
        </w:rPr>
        <w:t>77</w:t>
      </w:r>
      <w:r w:rsidR="00FA5597" w:rsidRPr="00F558A8">
        <w:rPr>
          <w:sz w:val="27"/>
          <w:szCs w:val="27"/>
        </w:rPr>
        <w:t xml:space="preserve"> giải Ba, 8</w:t>
      </w:r>
      <w:r w:rsidR="00A27C6E" w:rsidRPr="00F558A8">
        <w:rPr>
          <w:sz w:val="27"/>
          <w:szCs w:val="27"/>
        </w:rPr>
        <w:t>6</w:t>
      </w:r>
      <w:r w:rsidR="00FA5597" w:rsidRPr="00F558A8">
        <w:rPr>
          <w:sz w:val="27"/>
          <w:szCs w:val="27"/>
        </w:rPr>
        <w:t xml:space="preserve"> giải Khuyến khích</w:t>
      </w:r>
      <w:r w:rsidRPr="00F558A8">
        <w:rPr>
          <w:sz w:val="27"/>
          <w:szCs w:val="27"/>
        </w:rPr>
        <w:t xml:space="preserve">. </w:t>
      </w:r>
    </w:p>
    <w:p w14:paraId="5F98424D" w14:textId="77777777" w:rsidR="00ED48FB" w:rsidRPr="00F558A8" w:rsidRDefault="00A471A4" w:rsidP="00C80205">
      <w:pPr>
        <w:tabs>
          <w:tab w:val="left" w:pos="8222"/>
        </w:tabs>
        <w:ind w:firstLine="709"/>
        <w:jc w:val="both"/>
        <w:rPr>
          <w:b/>
          <w:bCs/>
          <w:iCs/>
          <w:sz w:val="27"/>
          <w:szCs w:val="27"/>
          <w:lang w:val="pt-BR"/>
        </w:rPr>
      </w:pPr>
      <w:r w:rsidRPr="00F558A8">
        <w:rPr>
          <w:b/>
          <w:bCs/>
          <w:iCs/>
          <w:sz w:val="27"/>
          <w:szCs w:val="27"/>
          <w:lang w:val="de-DE"/>
        </w:rPr>
        <w:t>3.</w:t>
      </w:r>
      <w:r w:rsidR="00ED48FB" w:rsidRPr="00F558A8">
        <w:rPr>
          <w:b/>
          <w:bCs/>
          <w:iCs/>
          <w:sz w:val="27"/>
          <w:szCs w:val="27"/>
          <w:lang w:val="de-DE"/>
        </w:rPr>
        <w:t xml:space="preserve">5. Cuộc </w:t>
      </w:r>
      <w:r w:rsidR="00ED48FB" w:rsidRPr="00F558A8">
        <w:rPr>
          <w:b/>
          <w:bCs/>
          <w:iCs/>
          <w:sz w:val="27"/>
          <w:szCs w:val="27"/>
          <w:lang w:val="pt-BR"/>
        </w:rPr>
        <w:t>thi “An toàn giao thông</w:t>
      </w:r>
      <w:r w:rsidR="00817B65" w:rsidRPr="00F558A8">
        <w:rPr>
          <w:b/>
          <w:bCs/>
          <w:iCs/>
          <w:sz w:val="27"/>
          <w:szCs w:val="27"/>
          <w:lang w:val="pt-BR"/>
        </w:rPr>
        <w:t xml:space="preserve"> cho</w:t>
      </w:r>
      <w:r w:rsidR="00ED48FB" w:rsidRPr="00F558A8">
        <w:rPr>
          <w:b/>
          <w:bCs/>
          <w:iCs/>
          <w:sz w:val="27"/>
          <w:szCs w:val="27"/>
          <w:lang w:val="pt-BR"/>
        </w:rPr>
        <w:t xml:space="preserve"> nụ cười ngày mai”</w:t>
      </w:r>
    </w:p>
    <w:p w14:paraId="6F348034" w14:textId="27609CD9" w:rsidR="00D26556" w:rsidRPr="00F558A8" w:rsidRDefault="00D26556" w:rsidP="00C80205">
      <w:pPr>
        <w:tabs>
          <w:tab w:val="left" w:pos="8222"/>
        </w:tabs>
        <w:ind w:firstLine="720"/>
        <w:jc w:val="both"/>
        <w:rPr>
          <w:bCs/>
          <w:iCs/>
          <w:sz w:val="27"/>
          <w:szCs w:val="27"/>
          <w:lang w:val="pt-BR"/>
        </w:rPr>
      </w:pPr>
      <w:r w:rsidRPr="00F558A8">
        <w:rPr>
          <w:bCs/>
          <w:iCs/>
          <w:sz w:val="27"/>
          <w:szCs w:val="27"/>
          <w:lang w:val="pt-BR"/>
        </w:rPr>
        <w:t>Cuộc thi “An toàn giao thông</w:t>
      </w:r>
      <w:r w:rsidR="00817B65" w:rsidRPr="00F558A8">
        <w:rPr>
          <w:bCs/>
          <w:iCs/>
          <w:sz w:val="27"/>
          <w:szCs w:val="27"/>
          <w:lang w:val="pt-BR"/>
        </w:rPr>
        <w:t xml:space="preserve"> cho</w:t>
      </w:r>
      <w:r w:rsidRPr="00F558A8">
        <w:rPr>
          <w:bCs/>
          <w:iCs/>
          <w:sz w:val="27"/>
          <w:szCs w:val="27"/>
          <w:lang w:val="pt-BR"/>
        </w:rPr>
        <w:t xml:space="preserve"> nụ cười ngày mai” </w:t>
      </w:r>
      <w:r w:rsidR="004C1C8A" w:rsidRPr="00F558A8">
        <w:rPr>
          <w:bCs/>
          <w:iCs/>
          <w:sz w:val="27"/>
          <w:szCs w:val="27"/>
          <w:lang w:val="pt-BR"/>
        </w:rPr>
        <w:t xml:space="preserve">đã thu hút sự tham gia dự thi của </w:t>
      </w:r>
      <w:r w:rsidR="001F28BC" w:rsidRPr="00F558A8">
        <w:rPr>
          <w:bCs/>
          <w:iCs/>
          <w:sz w:val="27"/>
          <w:szCs w:val="27"/>
          <w:lang w:val="pt-BR"/>
        </w:rPr>
        <w:t>1007</w:t>
      </w:r>
      <w:r w:rsidR="004C1C8A" w:rsidRPr="00F558A8">
        <w:rPr>
          <w:bCs/>
          <w:iCs/>
          <w:sz w:val="27"/>
          <w:szCs w:val="27"/>
          <w:lang w:val="pt-BR"/>
        </w:rPr>
        <w:t xml:space="preserve"> giáo viên</w:t>
      </w:r>
      <w:r w:rsidR="001F28BC" w:rsidRPr="00F558A8">
        <w:rPr>
          <w:bCs/>
          <w:iCs/>
          <w:sz w:val="27"/>
          <w:szCs w:val="27"/>
          <w:lang w:val="pt-BR"/>
        </w:rPr>
        <w:t xml:space="preserve"> (891 nộp bài online và 116 nộp bài trực tiếp)</w:t>
      </w:r>
      <w:r w:rsidR="004C1C8A" w:rsidRPr="00F558A8">
        <w:rPr>
          <w:bCs/>
          <w:iCs/>
          <w:sz w:val="27"/>
          <w:szCs w:val="27"/>
          <w:lang w:val="pt-BR"/>
        </w:rPr>
        <w:t xml:space="preserve"> và hơn </w:t>
      </w:r>
      <w:r w:rsidR="001F28BC" w:rsidRPr="00F558A8">
        <w:rPr>
          <w:bCs/>
          <w:iCs/>
          <w:sz w:val="27"/>
          <w:szCs w:val="27"/>
          <w:lang w:val="pt-BR"/>
        </w:rPr>
        <w:t>16.1</w:t>
      </w:r>
      <w:r w:rsidR="004C1C8A" w:rsidRPr="00F558A8">
        <w:rPr>
          <w:bCs/>
          <w:iCs/>
          <w:sz w:val="27"/>
          <w:szCs w:val="27"/>
          <w:lang w:val="pt-BR"/>
        </w:rPr>
        <w:t>27 học sinh</w:t>
      </w:r>
      <w:r w:rsidR="001F28BC" w:rsidRPr="00F558A8">
        <w:rPr>
          <w:bCs/>
          <w:iCs/>
          <w:sz w:val="27"/>
          <w:szCs w:val="27"/>
          <w:lang w:val="pt-BR"/>
        </w:rPr>
        <w:t xml:space="preserve"> (10.574 nộp bài online và 5.553 nộp bài trực tiếp)</w:t>
      </w:r>
      <w:r w:rsidR="004C1C8A" w:rsidRPr="00F558A8">
        <w:rPr>
          <w:bCs/>
          <w:iCs/>
          <w:sz w:val="27"/>
          <w:szCs w:val="27"/>
          <w:lang w:val="pt-BR"/>
        </w:rPr>
        <w:t xml:space="preserve">. Kết quả đạt </w:t>
      </w:r>
      <w:r w:rsidR="001F28BC" w:rsidRPr="00F558A8">
        <w:rPr>
          <w:bCs/>
          <w:iCs/>
          <w:sz w:val="27"/>
          <w:szCs w:val="27"/>
          <w:lang w:val="pt-BR"/>
        </w:rPr>
        <w:t>51 giải</w:t>
      </w:r>
      <w:r w:rsidR="004C1C8A" w:rsidRPr="00F558A8">
        <w:rPr>
          <w:bCs/>
          <w:iCs/>
          <w:sz w:val="27"/>
          <w:szCs w:val="27"/>
          <w:lang w:val="pt-BR"/>
        </w:rPr>
        <w:t xml:space="preserve"> gồm </w:t>
      </w:r>
      <w:r w:rsidR="001F28BC" w:rsidRPr="00F558A8">
        <w:rPr>
          <w:bCs/>
          <w:iCs/>
          <w:sz w:val="27"/>
          <w:szCs w:val="27"/>
          <w:lang w:val="pt-BR"/>
        </w:rPr>
        <w:t>9 giải dành cho giáo viên (</w:t>
      </w:r>
      <w:r w:rsidR="004C1C8A" w:rsidRPr="00F558A8">
        <w:rPr>
          <w:bCs/>
          <w:iCs/>
          <w:sz w:val="27"/>
          <w:szCs w:val="27"/>
          <w:lang w:val="pt-BR"/>
        </w:rPr>
        <w:t xml:space="preserve">1 Nhất, </w:t>
      </w:r>
      <w:r w:rsidR="001F28BC" w:rsidRPr="00F558A8">
        <w:rPr>
          <w:bCs/>
          <w:iCs/>
          <w:sz w:val="27"/>
          <w:szCs w:val="27"/>
          <w:lang w:val="pt-BR"/>
        </w:rPr>
        <w:t>4</w:t>
      </w:r>
      <w:r w:rsidR="004C1C8A" w:rsidRPr="00F558A8">
        <w:rPr>
          <w:bCs/>
          <w:iCs/>
          <w:sz w:val="27"/>
          <w:szCs w:val="27"/>
          <w:lang w:val="pt-BR"/>
        </w:rPr>
        <w:t xml:space="preserve"> Nhì, </w:t>
      </w:r>
      <w:r w:rsidR="001F28BC" w:rsidRPr="00F558A8">
        <w:rPr>
          <w:bCs/>
          <w:iCs/>
          <w:sz w:val="27"/>
          <w:szCs w:val="27"/>
          <w:lang w:val="pt-BR"/>
        </w:rPr>
        <w:t>4</w:t>
      </w:r>
      <w:r w:rsidR="004C1C8A" w:rsidRPr="00F558A8">
        <w:rPr>
          <w:bCs/>
          <w:iCs/>
          <w:sz w:val="27"/>
          <w:szCs w:val="27"/>
          <w:lang w:val="pt-BR"/>
        </w:rPr>
        <w:t xml:space="preserve"> Ba</w:t>
      </w:r>
      <w:r w:rsidR="001F28BC" w:rsidRPr="00F558A8">
        <w:rPr>
          <w:bCs/>
          <w:iCs/>
          <w:sz w:val="27"/>
          <w:szCs w:val="27"/>
          <w:lang w:val="pt-BR"/>
        </w:rPr>
        <w:t>)</w:t>
      </w:r>
      <w:r w:rsidR="004C1C8A" w:rsidRPr="00F558A8">
        <w:rPr>
          <w:bCs/>
          <w:iCs/>
          <w:sz w:val="27"/>
          <w:szCs w:val="27"/>
          <w:lang w:val="pt-BR"/>
        </w:rPr>
        <w:t xml:space="preserve"> và </w:t>
      </w:r>
      <w:r w:rsidR="001F28BC" w:rsidRPr="00F558A8">
        <w:rPr>
          <w:bCs/>
          <w:iCs/>
          <w:sz w:val="27"/>
          <w:szCs w:val="27"/>
          <w:lang w:val="pt-BR"/>
        </w:rPr>
        <w:t>38 giải dành cho học sinh (1 Nhất, 4 Nhì, 8 Ba và 25 Khuyến khích)</w:t>
      </w:r>
      <w:r w:rsidR="004C1C8A" w:rsidRPr="00F558A8">
        <w:rPr>
          <w:bCs/>
          <w:iCs/>
          <w:sz w:val="27"/>
          <w:szCs w:val="27"/>
          <w:lang w:val="pt-BR"/>
        </w:rPr>
        <w:t>.</w:t>
      </w:r>
    </w:p>
    <w:p w14:paraId="4C272AE0" w14:textId="77777777" w:rsidR="00ED48FB" w:rsidRPr="00F558A8" w:rsidRDefault="00ED48FB" w:rsidP="00C80205">
      <w:pPr>
        <w:ind w:firstLine="720"/>
        <w:jc w:val="both"/>
        <w:rPr>
          <w:sz w:val="27"/>
          <w:szCs w:val="27"/>
          <w:lang w:val="pt-BR"/>
        </w:rPr>
      </w:pPr>
      <w:r w:rsidRPr="00F558A8">
        <w:rPr>
          <w:sz w:val="27"/>
          <w:szCs w:val="27"/>
        </w:rPr>
        <w:t>Các cuộc thi nói trên đã góp phần làm thay đổi phương pháp dạy học, đổi mới hình thức tổ chức dạy học trong nhà trường, làm tiền đề đổi mới chương trình, sách giáo khoa và mô hình trường học mới</w:t>
      </w:r>
      <w:r w:rsidR="004763F1" w:rsidRPr="00F558A8">
        <w:rPr>
          <w:sz w:val="27"/>
          <w:szCs w:val="27"/>
        </w:rPr>
        <w:t xml:space="preserve"> </w:t>
      </w:r>
      <w:r w:rsidRPr="00F558A8">
        <w:rPr>
          <w:sz w:val="27"/>
          <w:szCs w:val="27"/>
        </w:rPr>
        <w:t>theo định hướng phát triển năng lực người học; tạo nên động lực cho giáo viên và học sinh phát huy khả năng tự học và sáng tạo góp phần không nhỏ đổi mới hoạt động giáo dục trong các trường trung</w:t>
      </w:r>
      <w:r w:rsidRPr="00F558A8">
        <w:rPr>
          <w:spacing w:val="-10"/>
          <w:sz w:val="27"/>
          <w:szCs w:val="27"/>
        </w:rPr>
        <w:t xml:space="preserve"> </w:t>
      </w:r>
      <w:r w:rsidRPr="00F558A8">
        <w:rPr>
          <w:sz w:val="27"/>
          <w:szCs w:val="27"/>
        </w:rPr>
        <w:t>học.</w:t>
      </w:r>
    </w:p>
    <w:p w14:paraId="2E939D10" w14:textId="35A24D25" w:rsidR="006C3FA6" w:rsidRPr="00F558A8" w:rsidRDefault="00A471A4" w:rsidP="00C80205">
      <w:pPr>
        <w:pStyle w:val="BodyText2"/>
        <w:spacing w:before="120"/>
        <w:ind w:firstLine="709"/>
        <w:rPr>
          <w:rFonts w:ascii="Times New Roman" w:hAnsi="Times New Roman"/>
          <w:b/>
          <w:bCs/>
          <w:sz w:val="27"/>
          <w:szCs w:val="27"/>
          <w:highlight w:val="white"/>
          <w:lang w:val="pt-BR"/>
        </w:rPr>
      </w:pPr>
      <w:r w:rsidRPr="00F558A8">
        <w:rPr>
          <w:rFonts w:ascii="Times New Roman" w:hAnsi="Times New Roman"/>
          <w:b/>
          <w:sz w:val="27"/>
          <w:szCs w:val="27"/>
          <w:highlight w:val="white"/>
          <w:lang w:val="pt-BR"/>
        </w:rPr>
        <w:t>4</w:t>
      </w:r>
      <w:r w:rsidR="00272B34" w:rsidRPr="00F558A8">
        <w:rPr>
          <w:rFonts w:ascii="Times New Roman" w:hAnsi="Times New Roman"/>
          <w:b/>
          <w:sz w:val="27"/>
          <w:szCs w:val="27"/>
          <w:highlight w:val="white"/>
          <w:lang w:val="pt-BR"/>
        </w:rPr>
        <w:t xml:space="preserve">. </w:t>
      </w:r>
      <w:r w:rsidR="006C3FA6" w:rsidRPr="00F558A8">
        <w:rPr>
          <w:rFonts w:ascii="Times New Roman" w:hAnsi="Times New Roman"/>
          <w:b/>
          <w:bCs/>
          <w:sz w:val="27"/>
          <w:szCs w:val="27"/>
          <w:highlight w:val="white"/>
          <w:lang w:val="pt-BR"/>
        </w:rPr>
        <w:t xml:space="preserve">Tình hình thực hiện việc kiểm tra, đánh giá </w:t>
      </w:r>
      <w:r w:rsidR="006C3FA6" w:rsidRPr="00F558A8">
        <w:rPr>
          <w:rFonts w:ascii="Times New Roman" w:hAnsi="Times New Roman"/>
          <w:b/>
          <w:bCs/>
          <w:sz w:val="27"/>
          <w:szCs w:val="27"/>
          <w:lang w:val="pt-BR"/>
        </w:rPr>
        <w:t xml:space="preserve">học </w:t>
      </w:r>
      <w:r w:rsidR="007042CE">
        <w:rPr>
          <w:rFonts w:ascii="Times New Roman" w:hAnsi="Times New Roman"/>
          <w:b/>
          <w:bCs/>
          <w:sz w:val="27"/>
          <w:szCs w:val="27"/>
          <w:lang w:val="pt-BR"/>
        </w:rPr>
        <w:t>kỳ</w:t>
      </w:r>
      <w:r w:rsidR="006C3FA6" w:rsidRPr="00F558A8">
        <w:rPr>
          <w:rFonts w:ascii="Times New Roman" w:hAnsi="Times New Roman"/>
          <w:b/>
          <w:bCs/>
          <w:sz w:val="27"/>
          <w:szCs w:val="27"/>
          <w:lang w:val="pt-BR"/>
        </w:rPr>
        <w:t xml:space="preserve"> 2 năm học 2019-2020 theo hướng dẫn tại Công văn số 1360/BGDĐT-GDTrH ngày 22/4/2020; </w:t>
      </w:r>
      <w:r w:rsidR="006C3FA6" w:rsidRPr="00F558A8">
        <w:rPr>
          <w:rFonts w:ascii="Times New Roman" w:hAnsi="Times New Roman"/>
          <w:b/>
          <w:sz w:val="27"/>
          <w:szCs w:val="27"/>
          <w:highlight w:val="white"/>
          <w:lang w:val="pt-BR"/>
        </w:rPr>
        <w:t>ôn tập và chuẩn bị cho kỳ thi THPT quốc gia năm 2020</w:t>
      </w:r>
    </w:p>
    <w:p w14:paraId="6FFD2C8D" w14:textId="77777777" w:rsidR="006C3FA6" w:rsidRPr="00F558A8" w:rsidRDefault="006C3FA6" w:rsidP="00C80205">
      <w:pPr>
        <w:pStyle w:val="ListParagraph"/>
        <w:spacing w:before="0"/>
        <w:ind w:left="0" w:firstLine="709"/>
        <w:rPr>
          <w:sz w:val="27"/>
          <w:szCs w:val="27"/>
        </w:rPr>
      </w:pPr>
      <w:r w:rsidRPr="00F558A8">
        <w:rPr>
          <w:sz w:val="27"/>
          <w:szCs w:val="27"/>
        </w:rPr>
        <w:t xml:space="preserve">Thực hiện chỉ đạo của Bộ GDĐT tại Công văn số 1360/BGDĐT-GDTrH ngày 22/4/2020 về việc hướng dẫn kiểm tra, đánh giá học kỳ 2 năm học 2019-2020, </w:t>
      </w:r>
      <w:r w:rsidRPr="00F558A8">
        <w:rPr>
          <w:sz w:val="27"/>
          <w:szCs w:val="27"/>
        </w:rPr>
        <w:lastRenderedPageBreak/>
        <w:t>Sở Giáo dục và Đào tạo đã hướng dẫn các đơn vị thực hiện các nội dung:</w:t>
      </w:r>
    </w:p>
    <w:p w14:paraId="5EA310D6" w14:textId="77777777" w:rsidR="006C3FA6" w:rsidRPr="00F558A8" w:rsidRDefault="006C3FA6" w:rsidP="00C80205">
      <w:pPr>
        <w:pStyle w:val="ListParagraph"/>
        <w:spacing w:before="0"/>
        <w:ind w:left="0" w:firstLine="709"/>
        <w:rPr>
          <w:sz w:val="27"/>
          <w:szCs w:val="27"/>
        </w:rPr>
      </w:pPr>
      <w:r w:rsidRPr="00F558A8">
        <w:rPr>
          <w:sz w:val="27"/>
          <w:szCs w:val="27"/>
        </w:rPr>
        <w:t>- Xây dựng kế hoạch dạy học theo chương trình tinh giản và tổ chức dạy học, kết hợp ôn tập, củng cố kiến thức, đối với khối lớp 9, lớp 12 kết thúc chương trình vào ngày 30/6/2020, các khối lớp khác kết thúc trước ngày 15/7/2020.</w:t>
      </w:r>
    </w:p>
    <w:p w14:paraId="30C9C613" w14:textId="77777777" w:rsidR="006C3FA6" w:rsidRPr="00F558A8" w:rsidRDefault="006C3FA6" w:rsidP="00C80205">
      <w:pPr>
        <w:pStyle w:val="ListParagraph"/>
        <w:spacing w:before="0"/>
        <w:ind w:left="0" w:firstLine="709"/>
        <w:rPr>
          <w:sz w:val="27"/>
          <w:szCs w:val="27"/>
        </w:rPr>
      </w:pPr>
      <w:r w:rsidRPr="00F558A8">
        <w:rPr>
          <w:sz w:val="27"/>
          <w:szCs w:val="27"/>
        </w:rPr>
        <w:t>- Chỉ đạo các trường, khi học sinh đi học trở lại, nhà trường rà soát, tổ chức phụ đạo để bổ sung kiến thức cho những em không có điều kiện tham gia đầy đủ việc học qua Internet, trên truyền hình; đồng thời với việc thực hiện chương trình học kỳ 2, tổ chức ôn tập, củng cố kiến thức cho học sinh và thực hiện việc kiểm tra thường xuyên và định kỳ theo quy định.</w:t>
      </w:r>
    </w:p>
    <w:p w14:paraId="10793A63" w14:textId="77777777" w:rsidR="006C3FA6" w:rsidRPr="00F558A8" w:rsidRDefault="006C3FA6" w:rsidP="00C80205">
      <w:pPr>
        <w:tabs>
          <w:tab w:val="left" w:pos="8222"/>
        </w:tabs>
        <w:ind w:firstLine="720"/>
        <w:jc w:val="both"/>
        <w:rPr>
          <w:sz w:val="27"/>
          <w:szCs w:val="27"/>
        </w:rPr>
      </w:pPr>
      <w:r w:rsidRPr="00F558A8">
        <w:rPr>
          <w:sz w:val="27"/>
          <w:szCs w:val="27"/>
        </w:rPr>
        <w:t>- Thực hiện việc kiểm tra, đánh giá học kỳ 2 năm học 2019-2020 đúng quy định tại Công văn số 1360/BGDĐT-GDTrH ngày 22/4/2020 của Bộ Giáo dục và Đào tạo.</w:t>
      </w:r>
    </w:p>
    <w:p w14:paraId="460E8FF9" w14:textId="13CFEB83" w:rsidR="007E021D" w:rsidRPr="00F558A8" w:rsidRDefault="006C3FA6" w:rsidP="00C80205">
      <w:pPr>
        <w:tabs>
          <w:tab w:val="left" w:pos="8222"/>
        </w:tabs>
        <w:ind w:firstLine="720"/>
        <w:jc w:val="both"/>
        <w:rPr>
          <w:sz w:val="27"/>
          <w:szCs w:val="27"/>
        </w:rPr>
      </w:pPr>
      <w:r w:rsidRPr="00F558A8">
        <w:rPr>
          <w:sz w:val="27"/>
          <w:szCs w:val="27"/>
        </w:rPr>
        <w:t xml:space="preserve">- </w:t>
      </w:r>
      <w:r w:rsidR="007E021D" w:rsidRPr="00F558A8">
        <w:rPr>
          <w:sz w:val="27"/>
          <w:szCs w:val="27"/>
        </w:rPr>
        <w:t xml:space="preserve">Sở đã thành lập các đoàn kiểm tra công tác dạy học, ôn tập thi </w:t>
      </w:r>
      <w:r w:rsidRPr="00F558A8">
        <w:rPr>
          <w:sz w:val="27"/>
          <w:szCs w:val="27"/>
        </w:rPr>
        <w:t xml:space="preserve">tốt nghiệp </w:t>
      </w:r>
      <w:r w:rsidR="007E021D" w:rsidRPr="00F558A8">
        <w:rPr>
          <w:sz w:val="27"/>
          <w:szCs w:val="27"/>
        </w:rPr>
        <w:t xml:space="preserve">THPT </w:t>
      </w:r>
      <w:r w:rsidRPr="00F558A8">
        <w:rPr>
          <w:sz w:val="27"/>
          <w:szCs w:val="27"/>
        </w:rPr>
        <w:t>và</w:t>
      </w:r>
      <w:r w:rsidR="007E021D" w:rsidRPr="00F558A8">
        <w:rPr>
          <w:sz w:val="27"/>
          <w:szCs w:val="27"/>
        </w:rPr>
        <w:t xml:space="preserve"> chỉ đạo các đơn vị tổ chức </w:t>
      </w:r>
      <w:r w:rsidRPr="00F558A8">
        <w:rPr>
          <w:sz w:val="27"/>
          <w:szCs w:val="27"/>
        </w:rPr>
        <w:t xml:space="preserve">dạy thêm, </w:t>
      </w:r>
      <w:r w:rsidR="007E021D" w:rsidRPr="00F558A8">
        <w:rPr>
          <w:sz w:val="27"/>
          <w:szCs w:val="27"/>
        </w:rPr>
        <w:t xml:space="preserve">học thêm để phục vụ ôn thi (nếu có) phải thực hiện theo đúng quy định của Bộ GDĐT và của </w:t>
      </w:r>
      <w:r w:rsidRPr="00F558A8">
        <w:rPr>
          <w:sz w:val="27"/>
          <w:szCs w:val="27"/>
        </w:rPr>
        <w:t xml:space="preserve">UBND </w:t>
      </w:r>
      <w:r w:rsidR="007E021D" w:rsidRPr="00F558A8">
        <w:rPr>
          <w:sz w:val="27"/>
          <w:szCs w:val="27"/>
        </w:rPr>
        <w:t>tỉnh; đặc biệt là đảm bảo tính tự nguyện của học sinh và tính hiệu quả của nội dung dạy học.</w:t>
      </w:r>
    </w:p>
    <w:p w14:paraId="37B61DD2" w14:textId="77777777" w:rsidR="00272B34" w:rsidRPr="00F558A8" w:rsidRDefault="00A471A4" w:rsidP="00C80205">
      <w:pPr>
        <w:pStyle w:val="BodyText2"/>
        <w:spacing w:before="120"/>
        <w:ind w:firstLine="709"/>
        <w:rPr>
          <w:rFonts w:ascii="Times New Roman" w:hAnsi="Times New Roman"/>
          <w:b/>
          <w:sz w:val="27"/>
          <w:szCs w:val="27"/>
          <w:highlight w:val="white"/>
          <w:lang w:val="pt-BR"/>
        </w:rPr>
      </w:pPr>
      <w:r w:rsidRPr="00F558A8">
        <w:rPr>
          <w:rFonts w:ascii="Times New Roman" w:hAnsi="Times New Roman"/>
          <w:b/>
          <w:sz w:val="27"/>
          <w:szCs w:val="27"/>
          <w:highlight w:val="white"/>
          <w:lang w:val="pt-BR"/>
        </w:rPr>
        <w:t>5</w:t>
      </w:r>
      <w:r w:rsidR="00272B34" w:rsidRPr="00F558A8">
        <w:rPr>
          <w:rFonts w:ascii="Times New Roman" w:hAnsi="Times New Roman"/>
          <w:b/>
          <w:sz w:val="27"/>
          <w:szCs w:val="27"/>
          <w:highlight w:val="white"/>
          <w:lang w:val="pt-BR"/>
        </w:rPr>
        <w:t xml:space="preserve">. </w:t>
      </w:r>
      <w:r w:rsidR="00ED48FB" w:rsidRPr="00F558A8">
        <w:rPr>
          <w:rFonts w:ascii="Times New Roman" w:hAnsi="Times New Roman"/>
          <w:b/>
          <w:sz w:val="27"/>
          <w:szCs w:val="27"/>
          <w:highlight w:val="white"/>
          <w:lang w:val="pt-BR"/>
        </w:rPr>
        <w:t>Hoạt động đổi mới c</w:t>
      </w:r>
      <w:r w:rsidR="00272B34" w:rsidRPr="00F558A8">
        <w:rPr>
          <w:rFonts w:ascii="Times New Roman" w:hAnsi="Times New Roman"/>
          <w:b/>
          <w:sz w:val="27"/>
          <w:szCs w:val="27"/>
          <w:highlight w:val="white"/>
          <w:lang w:val="pt-BR"/>
        </w:rPr>
        <w:t>ông tác quản lý giáo dục</w:t>
      </w:r>
    </w:p>
    <w:p w14:paraId="60A2DD60" w14:textId="77777777" w:rsidR="00272B34" w:rsidRPr="00F558A8" w:rsidRDefault="00A471A4" w:rsidP="00C80205">
      <w:pPr>
        <w:pStyle w:val="BodyText2"/>
        <w:ind w:firstLine="709"/>
        <w:rPr>
          <w:rFonts w:ascii="Times New Roman" w:hAnsi="Times New Roman"/>
          <w:b/>
          <w:sz w:val="27"/>
          <w:szCs w:val="27"/>
          <w:highlight w:val="white"/>
          <w:lang w:val="pt-BR"/>
        </w:rPr>
      </w:pPr>
      <w:r w:rsidRPr="00F558A8">
        <w:rPr>
          <w:rFonts w:ascii="Times New Roman" w:hAnsi="Times New Roman"/>
          <w:b/>
          <w:sz w:val="27"/>
          <w:szCs w:val="27"/>
          <w:highlight w:val="white"/>
          <w:lang w:val="pt-BR"/>
        </w:rPr>
        <w:t>5</w:t>
      </w:r>
      <w:r w:rsidR="00272B34" w:rsidRPr="00F558A8">
        <w:rPr>
          <w:rFonts w:ascii="Times New Roman" w:hAnsi="Times New Roman"/>
          <w:b/>
          <w:sz w:val="27"/>
          <w:szCs w:val="27"/>
          <w:highlight w:val="white"/>
          <w:lang w:val="pt-BR"/>
        </w:rPr>
        <w:t>.1. Đ</w:t>
      </w:r>
      <w:r w:rsidR="00272B34" w:rsidRPr="00F558A8">
        <w:rPr>
          <w:rFonts w:ascii="Times New Roman" w:hAnsi="Times New Roman"/>
          <w:b/>
          <w:sz w:val="27"/>
          <w:szCs w:val="27"/>
          <w:highlight w:val="white"/>
          <w:lang w:val="vi-VN"/>
        </w:rPr>
        <w:t>ổi mới quản lí việc thực hiện chương trình và kế hoạch giáo dục theo hướng phân cấp, giao quyền tự chủ của các cơ sở giáo dục</w:t>
      </w:r>
    </w:p>
    <w:p w14:paraId="5996BFB0" w14:textId="358FD22D" w:rsidR="00E9181B" w:rsidRPr="00F558A8" w:rsidRDefault="00104C05" w:rsidP="00C80205">
      <w:pPr>
        <w:ind w:firstLine="720"/>
        <w:jc w:val="both"/>
        <w:rPr>
          <w:sz w:val="27"/>
          <w:szCs w:val="27"/>
        </w:rPr>
      </w:pPr>
      <w:r w:rsidRPr="00F558A8">
        <w:rPr>
          <w:sz w:val="27"/>
          <w:szCs w:val="27"/>
          <w:lang w:val="af-ZA"/>
        </w:rPr>
        <w:t>Chỉ đạo các trường trung học chủ động, linh hoạt trong việc thực hiện chương trình</w:t>
      </w:r>
      <w:r w:rsidR="005C0B24" w:rsidRPr="00F558A8">
        <w:rPr>
          <w:sz w:val="27"/>
          <w:szCs w:val="27"/>
          <w:lang w:val="af-ZA"/>
        </w:rPr>
        <w:t xml:space="preserve"> đảm bảo chuẩn kiến thức kỹ năng môn học</w:t>
      </w:r>
      <w:r w:rsidR="00295E64" w:rsidRPr="00F558A8">
        <w:rPr>
          <w:sz w:val="27"/>
          <w:szCs w:val="27"/>
          <w:lang w:val="af-ZA"/>
        </w:rPr>
        <w:t xml:space="preserve">; </w:t>
      </w:r>
      <w:r w:rsidR="00295E64" w:rsidRPr="00F558A8">
        <w:rPr>
          <w:sz w:val="27"/>
          <w:szCs w:val="27"/>
        </w:rPr>
        <w:t>xây dựng kế hoạch dạy học theo chương trình tinh giản (Công văn 1360</w:t>
      </w:r>
      <w:r w:rsidR="00E9181B" w:rsidRPr="00F558A8">
        <w:rPr>
          <w:sz w:val="27"/>
          <w:szCs w:val="27"/>
        </w:rPr>
        <w:t>)</w:t>
      </w:r>
      <w:r w:rsidRPr="00F558A8">
        <w:rPr>
          <w:sz w:val="27"/>
          <w:szCs w:val="27"/>
          <w:lang w:val="pt-BR"/>
        </w:rPr>
        <w:t>.</w:t>
      </w:r>
      <w:r w:rsidR="00E9181B" w:rsidRPr="00F558A8">
        <w:rPr>
          <w:sz w:val="27"/>
          <w:szCs w:val="27"/>
          <w:lang w:val="pt-BR"/>
        </w:rPr>
        <w:t xml:space="preserve"> </w:t>
      </w:r>
      <w:r w:rsidR="00E9181B" w:rsidRPr="00F558A8">
        <w:rPr>
          <w:spacing w:val="-1"/>
          <w:sz w:val="27"/>
          <w:szCs w:val="27"/>
        </w:rPr>
        <w:t xml:space="preserve">Hướng dẫn các đơn vị trường học </w:t>
      </w:r>
      <w:r w:rsidR="00E9181B" w:rsidRPr="00F558A8">
        <w:rPr>
          <w:sz w:val="27"/>
          <w:szCs w:val="27"/>
        </w:rPr>
        <w:t>xây dựng kế hoạch tổ chức cho học sinh học tập qua Internet phù hợp với mỗi trường, mỗi lớp học, mỗi học sinh đảm bảo hoàn thành chương trình theo đúng kế hoạch thời gian năm học của Bộ GDĐT.</w:t>
      </w:r>
    </w:p>
    <w:p w14:paraId="00595F82" w14:textId="77777777" w:rsidR="00104C05" w:rsidRPr="00F558A8" w:rsidRDefault="00104C05" w:rsidP="00C80205">
      <w:pPr>
        <w:ind w:firstLine="720"/>
        <w:jc w:val="both"/>
        <w:rPr>
          <w:sz w:val="27"/>
          <w:szCs w:val="27"/>
          <w:lang w:val="af-ZA"/>
        </w:rPr>
      </w:pPr>
      <w:r w:rsidRPr="00F558A8">
        <w:rPr>
          <w:sz w:val="27"/>
          <w:szCs w:val="27"/>
          <w:lang w:val="pt-BR"/>
        </w:rPr>
        <w:t>Chỉ đạo các đơn vị giáo dục trên địa bàn toàn tỉnh xây dựng kế hoạch và tổ chức thực hiện kế hoạch hoạt động giáo dục ngoài giờ lên lớp,</w:t>
      </w:r>
      <w:r w:rsidRPr="00F558A8">
        <w:rPr>
          <w:sz w:val="27"/>
          <w:szCs w:val="27"/>
          <w:lang w:val="af-ZA"/>
        </w:rPr>
        <w:t xml:space="preserve"> chú trọng giáo dục đạo đức, rèn luyện kỹ năng sống, hiểu biết xã hội, thực hành pháp luật.</w:t>
      </w:r>
    </w:p>
    <w:p w14:paraId="7FB1B153" w14:textId="77777777" w:rsidR="00272B34" w:rsidRPr="00F558A8" w:rsidRDefault="00A471A4" w:rsidP="00C80205">
      <w:pPr>
        <w:tabs>
          <w:tab w:val="left" w:pos="8222"/>
        </w:tabs>
        <w:ind w:firstLine="709"/>
        <w:jc w:val="both"/>
        <w:rPr>
          <w:b/>
          <w:sz w:val="27"/>
          <w:szCs w:val="27"/>
          <w:lang w:val="pt-BR"/>
        </w:rPr>
      </w:pPr>
      <w:r w:rsidRPr="00F558A8">
        <w:rPr>
          <w:b/>
          <w:sz w:val="27"/>
          <w:szCs w:val="27"/>
        </w:rPr>
        <w:t>5</w:t>
      </w:r>
      <w:r w:rsidR="00194323" w:rsidRPr="00F558A8">
        <w:rPr>
          <w:b/>
          <w:sz w:val="27"/>
          <w:szCs w:val="27"/>
        </w:rPr>
        <w:t xml:space="preserve">.2. </w:t>
      </w:r>
      <w:r w:rsidR="00272B34" w:rsidRPr="00F558A8">
        <w:rPr>
          <w:b/>
          <w:sz w:val="27"/>
          <w:szCs w:val="27"/>
        </w:rPr>
        <w:t xml:space="preserve">Xây dựng môi trường giáo dục an toàn, vệ sinh, có tính tham gia và dân chủ; </w:t>
      </w:r>
      <w:r w:rsidR="00272B34" w:rsidRPr="00F558A8">
        <w:rPr>
          <w:b/>
          <w:spacing w:val="-4"/>
          <w:sz w:val="27"/>
          <w:szCs w:val="27"/>
          <w:lang w:val="pt-BR"/>
        </w:rPr>
        <w:t xml:space="preserve">đổi mới cơ chế quản lý chuyên môn; </w:t>
      </w:r>
      <w:r w:rsidR="00272B34" w:rsidRPr="00F558A8">
        <w:rPr>
          <w:b/>
          <w:sz w:val="27"/>
          <w:szCs w:val="27"/>
          <w:lang w:val="pt-BR"/>
        </w:rPr>
        <w:t>sinh hoạt tổ chuyên môn dựa trên nghiên cứu bài học; công tác bồi dưỡng các nội dung chuyên môn, nâng cao tay nghề cho giáo viên</w:t>
      </w:r>
    </w:p>
    <w:p w14:paraId="5EECB8B6" w14:textId="77777777" w:rsidR="00403AEF" w:rsidRPr="00F558A8" w:rsidRDefault="00104C05" w:rsidP="00C80205">
      <w:pPr>
        <w:tabs>
          <w:tab w:val="left" w:pos="8222"/>
        </w:tabs>
        <w:ind w:firstLine="720"/>
        <w:jc w:val="both"/>
        <w:rPr>
          <w:i/>
          <w:sz w:val="27"/>
          <w:szCs w:val="27"/>
        </w:rPr>
      </w:pPr>
      <w:r w:rsidRPr="00F558A8">
        <w:rPr>
          <w:sz w:val="27"/>
          <w:szCs w:val="27"/>
        </w:rPr>
        <w:t>Chỉ đạo các đơn vị giáo dục trong toàn tỉnh xây dựng môi trường giáo dục an toàn, vệ sinh trường học.</w:t>
      </w:r>
      <w:r w:rsidR="00403AEF" w:rsidRPr="00F558A8">
        <w:rPr>
          <w:sz w:val="27"/>
          <w:szCs w:val="27"/>
        </w:rPr>
        <w:t xml:space="preserve"> Các đơn vị triển khai có hiệu quả phong trào thi đua “Nét đẹp văn hóa học đường” gắn với việc triển khai đề án xây dựng tỉnh Thừa Thiên Huế “Xanh, Sạch, Sáng” và phong trào “Ngày Chủ Nhật xanh”</w:t>
      </w:r>
      <w:r w:rsidR="00403AEF" w:rsidRPr="00F558A8">
        <w:rPr>
          <w:i/>
          <w:sz w:val="27"/>
          <w:szCs w:val="27"/>
        </w:rPr>
        <w:t>.</w:t>
      </w:r>
    </w:p>
    <w:p w14:paraId="3A76F436" w14:textId="77777777" w:rsidR="00104C05" w:rsidRPr="00F558A8" w:rsidRDefault="00104C05" w:rsidP="00C80205">
      <w:pPr>
        <w:tabs>
          <w:tab w:val="left" w:pos="8222"/>
        </w:tabs>
        <w:ind w:firstLine="720"/>
        <w:jc w:val="both"/>
        <w:rPr>
          <w:sz w:val="27"/>
          <w:szCs w:val="27"/>
          <w:lang w:val="vi-VN"/>
        </w:rPr>
      </w:pPr>
      <w:r w:rsidRPr="00F558A8">
        <w:rPr>
          <w:sz w:val="27"/>
          <w:szCs w:val="27"/>
        </w:rPr>
        <w:t>Chỉ đạo đ</w:t>
      </w:r>
      <w:r w:rsidRPr="00F558A8">
        <w:rPr>
          <w:sz w:val="27"/>
          <w:szCs w:val="27"/>
          <w:lang w:val="vi-VN"/>
        </w:rPr>
        <w:t xml:space="preserve">ổi mới sinh hoạt tổ chuyên môn, tăng cường theo hướng nghiên cứu nội dung bài </w:t>
      </w:r>
      <w:r w:rsidRPr="00F558A8">
        <w:rPr>
          <w:sz w:val="27"/>
          <w:szCs w:val="27"/>
        </w:rPr>
        <w:t>học</w:t>
      </w:r>
      <w:r w:rsidRPr="00F558A8">
        <w:rPr>
          <w:sz w:val="27"/>
          <w:szCs w:val="27"/>
          <w:lang w:val="vi-VN"/>
        </w:rPr>
        <w:t xml:space="preserve">; </w:t>
      </w:r>
      <w:r w:rsidRPr="00F558A8">
        <w:rPr>
          <w:sz w:val="27"/>
          <w:szCs w:val="27"/>
          <w:lang w:val="pt-BR"/>
        </w:rPr>
        <w:t xml:space="preserve">lựa chọn nội dung để xây dựng các chuyên đề dạy học, </w:t>
      </w:r>
      <w:r w:rsidRPr="00F558A8">
        <w:rPr>
          <w:sz w:val="27"/>
          <w:szCs w:val="27"/>
          <w:lang w:val="vi-VN"/>
        </w:rPr>
        <w:t>thảo luận về các chủ đề</w:t>
      </w:r>
      <w:r w:rsidRPr="00F558A8">
        <w:rPr>
          <w:sz w:val="27"/>
          <w:szCs w:val="27"/>
          <w:lang w:val="pt-BR"/>
        </w:rPr>
        <w:t xml:space="preserve"> dạy học tích hợp liên môn</w:t>
      </w:r>
      <w:r w:rsidRPr="00F558A8">
        <w:rPr>
          <w:sz w:val="27"/>
          <w:szCs w:val="27"/>
          <w:lang w:val="vi-VN"/>
        </w:rPr>
        <w:t>, nội dung dạy</w:t>
      </w:r>
      <w:r w:rsidR="00230847" w:rsidRPr="00F558A8">
        <w:rPr>
          <w:sz w:val="27"/>
          <w:szCs w:val="27"/>
        </w:rPr>
        <w:t xml:space="preserve"> học; </w:t>
      </w:r>
      <w:r w:rsidRPr="00F558A8">
        <w:rPr>
          <w:sz w:val="27"/>
          <w:szCs w:val="27"/>
          <w:lang w:val="vi-VN"/>
        </w:rPr>
        <w:t>rút kinh nghiệm, tháo gỡ những khó khăn vướng mắc gặp phải trong giảng dạy...</w:t>
      </w:r>
    </w:p>
    <w:p w14:paraId="51576EB4" w14:textId="77777777" w:rsidR="00104C05" w:rsidRPr="00F558A8" w:rsidRDefault="00104C05" w:rsidP="00C80205">
      <w:pPr>
        <w:tabs>
          <w:tab w:val="left" w:pos="8222"/>
        </w:tabs>
        <w:ind w:firstLine="720"/>
        <w:jc w:val="both"/>
        <w:rPr>
          <w:sz w:val="27"/>
          <w:szCs w:val="27"/>
        </w:rPr>
      </w:pPr>
      <w:r w:rsidRPr="00F558A8">
        <w:rPr>
          <w:sz w:val="27"/>
          <w:szCs w:val="27"/>
        </w:rPr>
        <w:t>Q</w:t>
      </w:r>
      <w:r w:rsidRPr="00F558A8">
        <w:rPr>
          <w:sz w:val="27"/>
          <w:szCs w:val="27"/>
          <w:lang w:val="vi-VN"/>
        </w:rPr>
        <w:t>uan tâm xây dựng đội ngũ giáo viên cốt cán; xây dựng mạng lưới giáo viên mỗi bộ môn</w:t>
      </w:r>
      <w:r w:rsidR="005B34DD" w:rsidRPr="00F558A8">
        <w:rPr>
          <w:sz w:val="27"/>
          <w:szCs w:val="27"/>
        </w:rPr>
        <w:t xml:space="preserve"> ở</w:t>
      </w:r>
      <w:r w:rsidRPr="00F558A8">
        <w:rPr>
          <w:sz w:val="27"/>
          <w:szCs w:val="27"/>
          <w:lang w:val="vi-VN"/>
        </w:rPr>
        <w:t xml:space="preserve"> mỗi cơ sở giáo dục, mỗi cấp học ở địa phương </w:t>
      </w:r>
      <w:r w:rsidR="005B34DD" w:rsidRPr="00F558A8">
        <w:rPr>
          <w:sz w:val="27"/>
          <w:szCs w:val="27"/>
        </w:rPr>
        <w:t>và</w:t>
      </w:r>
      <w:r w:rsidRPr="00F558A8">
        <w:rPr>
          <w:sz w:val="27"/>
          <w:szCs w:val="27"/>
          <w:lang w:val="vi-VN"/>
        </w:rPr>
        <w:t xml:space="preserve"> của tỉnh.</w:t>
      </w:r>
    </w:p>
    <w:p w14:paraId="223ED140" w14:textId="77777777" w:rsidR="00272B34" w:rsidRPr="00F558A8" w:rsidRDefault="00A471A4" w:rsidP="00C80205">
      <w:pPr>
        <w:pStyle w:val="BodyText"/>
        <w:spacing w:after="0"/>
        <w:ind w:firstLine="709"/>
        <w:jc w:val="both"/>
        <w:rPr>
          <w:b/>
          <w:sz w:val="27"/>
          <w:szCs w:val="27"/>
          <w:highlight w:val="white"/>
          <w:lang w:val="pt-BR"/>
        </w:rPr>
      </w:pPr>
      <w:r w:rsidRPr="00F558A8">
        <w:rPr>
          <w:b/>
          <w:color w:val="000000"/>
          <w:spacing w:val="-4"/>
          <w:sz w:val="27"/>
          <w:szCs w:val="27"/>
          <w:lang w:val="pt-BR"/>
        </w:rPr>
        <w:t>5</w:t>
      </w:r>
      <w:r w:rsidR="00194323" w:rsidRPr="00F558A8">
        <w:rPr>
          <w:b/>
          <w:color w:val="000000"/>
          <w:spacing w:val="-4"/>
          <w:sz w:val="27"/>
          <w:szCs w:val="27"/>
          <w:lang w:val="pt-BR"/>
        </w:rPr>
        <w:t>.3</w:t>
      </w:r>
      <w:r w:rsidR="00272B34" w:rsidRPr="00F558A8">
        <w:rPr>
          <w:b/>
          <w:color w:val="000000"/>
          <w:spacing w:val="-4"/>
          <w:sz w:val="27"/>
          <w:szCs w:val="27"/>
          <w:lang w:val="pt-BR"/>
        </w:rPr>
        <w:t>. Tăng cường điều kiện đảm bảo và sử dụng hiệu quả công nghệ thông tin trong quản lý</w:t>
      </w:r>
    </w:p>
    <w:p w14:paraId="263614E6" w14:textId="39332A78" w:rsidR="00E9181B" w:rsidRPr="00F558A8" w:rsidRDefault="00E9181B" w:rsidP="00C80205">
      <w:pPr>
        <w:ind w:firstLine="720"/>
        <w:jc w:val="both"/>
        <w:rPr>
          <w:sz w:val="27"/>
          <w:szCs w:val="27"/>
        </w:rPr>
      </w:pPr>
      <w:r w:rsidRPr="00F558A8">
        <w:rPr>
          <w:sz w:val="27"/>
          <w:szCs w:val="27"/>
        </w:rPr>
        <w:lastRenderedPageBreak/>
        <w:t>Làm việc với các đối tác VNPT, Viettel, Đại học Phú Xuân, MicroSoft Việt Nam để được hỗ trợ các công cụ dạy học trực tuyến, tạo điều kiện để các đơn vị trường học chủ động liên hệ với các đối tác để tổ chức dạy học trực tuyến.</w:t>
      </w:r>
    </w:p>
    <w:p w14:paraId="1F98A954" w14:textId="0E4ACCEE" w:rsidR="00FA563E" w:rsidRPr="00F558A8" w:rsidRDefault="00FA563E" w:rsidP="00C80205">
      <w:pPr>
        <w:ind w:firstLine="720"/>
        <w:jc w:val="both"/>
        <w:rPr>
          <w:sz w:val="27"/>
          <w:szCs w:val="27"/>
        </w:rPr>
      </w:pPr>
      <w:r w:rsidRPr="00F558A8">
        <w:rPr>
          <w:sz w:val="27"/>
          <w:szCs w:val="27"/>
        </w:rPr>
        <w:t>Đa số giáo viên, học sinh sử dụng các dịch vụ trên Internet tương đối thành thạo nhằm làm phong phú cho hoạt động dạy, học ở các trường trung học. Đặc biệt, trong thời gian nghỉ học dài ngày do dịch COVID-19, nhiều giáo viên tham gia các tiết dạy học trên truyền hình (đối với học sinh lóp 9, lớp 12) và có nhiều sáng tạo trong việc tổ chức dạy học qua Internet đối với các khối lớp khác bằng nhiều phần mềm, công cụ hỗ trợ khác nhau, đảm bảo hoàn thành chương trình theo quy định của Bộ GDĐT.</w:t>
      </w:r>
    </w:p>
    <w:p w14:paraId="5EEE4BBB" w14:textId="50792BC1" w:rsidR="00272B34" w:rsidRPr="00F558A8" w:rsidRDefault="00272B34" w:rsidP="00C80205">
      <w:pPr>
        <w:ind w:firstLine="720"/>
        <w:jc w:val="both"/>
        <w:rPr>
          <w:sz w:val="27"/>
          <w:szCs w:val="27"/>
        </w:rPr>
      </w:pPr>
      <w:r w:rsidRPr="00F558A8">
        <w:rPr>
          <w:sz w:val="27"/>
          <w:szCs w:val="27"/>
        </w:rPr>
        <w:t xml:space="preserve">Hầu hết các công việc quản lý ở Sở GDĐT đã được tin học hoá tương đối triệt để và bền vững như: Trao đổi thông tin với các đơn vị phòng GDĐT và các đơn vị trực thuộc Sở qua mạng, </w:t>
      </w:r>
      <w:r w:rsidR="00A7369C">
        <w:rPr>
          <w:sz w:val="27"/>
          <w:szCs w:val="27"/>
        </w:rPr>
        <w:t xml:space="preserve">họp trực tuyến, </w:t>
      </w:r>
      <w:r w:rsidRPr="00F558A8">
        <w:rPr>
          <w:sz w:val="27"/>
          <w:szCs w:val="27"/>
        </w:rPr>
        <w:t>thi và tuyển sinh, quản lý cán bộ, giáo viên; cổng thông tin quản lý giáo dục phục vụ công tác thống kê - kế hoạch,…</w:t>
      </w:r>
    </w:p>
    <w:p w14:paraId="76DC29B6" w14:textId="6532F9AC" w:rsidR="00272B34" w:rsidRPr="00F558A8" w:rsidRDefault="00272B34" w:rsidP="00C80205">
      <w:pPr>
        <w:ind w:firstLine="720"/>
        <w:jc w:val="both"/>
        <w:rPr>
          <w:color w:val="000000"/>
          <w:sz w:val="27"/>
          <w:szCs w:val="27"/>
          <w:lang w:val="pt-BR"/>
        </w:rPr>
      </w:pPr>
      <w:r w:rsidRPr="00F558A8">
        <w:rPr>
          <w:color w:val="000000"/>
          <w:sz w:val="27"/>
          <w:szCs w:val="27"/>
          <w:lang w:val="pt-BR"/>
        </w:rPr>
        <w:t>Tiếp tục hoàn thiện hệ thống cơ sở dữ liệu của ngành giáo dục và đào tạo, kết nối thông tin dữ liệu trong tỉnh, ngành giáo dục đào tạo, cổng liên kết các ngành liên quan, các cơ sở giáo dục và xã hội. Tạo môi trường làm việc điện tử trong các cơ quan hành chính giáo dục và các cơ sở giáo dục để ứng dụng công nghệ thông tin trong quản lí, điều hành, giảng dạy. Đảm bảo điều kiện làm việc cho cán bộ, giáo viên, tạo môi trường thuận lợi cho việc học tập và phát triển của học sinh, đáp ứng nhu cầu dịch vụ công phục vụ người dân và xã hội.</w:t>
      </w:r>
    </w:p>
    <w:p w14:paraId="773910B8" w14:textId="1639AF19" w:rsidR="00272B34" w:rsidRPr="00F558A8" w:rsidRDefault="00272B34" w:rsidP="00C80205">
      <w:pPr>
        <w:ind w:firstLine="720"/>
        <w:jc w:val="both"/>
        <w:rPr>
          <w:sz w:val="27"/>
          <w:szCs w:val="27"/>
        </w:rPr>
      </w:pPr>
      <w:r w:rsidRPr="00F558A8">
        <w:rPr>
          <w:sz w:val="27"/>
          <w:szCs w:val="27"/>
        </w:rPr>
        <w:t>Các văn bản chỉ đạo, điều hành của Sở GDĐT đều được chuyển gửi nội bộ hoặc phổ biến công khai trên hệ thống mạng, không gửi công văn theo đường bưu điện.</w:t>
      </w:r>
    </w:p>
    <w:p w14:paraId="6343485F" w14:textId="7BA78F11" w:rsidR="00272B34" w:rsidRPr="00F558A8" w:rsidRDefault="00272B34" w:rsidP="00C80205">
      <w:pPr>
        <w:ind w:firstLine="720"/>
        <w:jc w:val="both"/>
        <w:rPr>
          <w:sz w:val="27"/>
          <w:szCs w:val="27"/>
          <w:lang w:val="es-BO"/>
        </w:rPr>
      </w:pPr>
      <w:r w:rsidRPr="00F558A8">
        <w:rPr>
          <w:sz w:val="27"/>
          <w:szCs w:val="27"/>
          <w:lang w:val="es-BO"/>
        </w:rPr>
        <w:t>Triển khai và cập nhật đầy đủ vào hệ thống thông tin quản lý về phổ cập giáo dục-chống mù chữ, báo cáo Bộ GDĐT đúng thời hạn quy định.</w:t>
      </w:r>
    </w:p>
    <w:p w14:paraId="76EA6C8A" w14:textId="77777777" w:rsidR="00272B34" w:rsidRPr="00F558A8" w:rsidRDefault="00A471A4" w:rsidP="00C80205">
      <w:pPr>
        <w:pStyle w:val="BodyText2"/>
        <w:ind w:firstLine="709"/>
        <w:rPr>
          <w:rFonts w:ascii="Times New Roman" w:hAnsi="Times New Roman"/>
          <w:b/>
          <w:sz w:val="27"/>
          <w:szCs w:val="27"/>
          <w:highlight w:val="white"/>
          <w:lang w:val="pt-BR"/>
        </w:rPr>
      </w:pPr>
      <w:r w:rsidRPr="00F558A8">
        <w:rPr>
          <w:rFonts w:ascii="Times New Roman" w:hAnsi="Times New Roman"/>
          <w:b/>
          <w:iCs/>
          <w:sz w:val="27"/>
          <w:szCs w:val="27"/>
          <w:highlight w:val="white"/>
          <w:lang w:val="pt-BR"/>
        </w:rPr>
        <w:t>5</w:t>
      </w:r>
      <w:r w:rsidR="00194323" w:rsidRPr="00F558A8">
        <w:rPr>
          <w:rFonts w:ascii="Times New Roman" w:hAnsi="Times New Roman"/>
          <w:b/>
          <w:iCs/>
          <w:sz w:val="27"/>
          <w:szCs w:val="27"/>
          <w:highlight w:val="white"/>
          <w:lang w:val="pt-BR"/>
        </w:rPr>
        <w:t>.4</w:t>
      </w:r>
      <w:r w:rsidR="00272B34" w:rsidRPr="00F558A8">
        <w:rPr>
          <w:rFonts w:ascii="Times New Roman" w:hAnsi="Times New Roman"/>
          <w:b/>
          <w:iCs/>
          <w:sz w:val="27"/>
          <w:szCs w:val="27"/>
          <w:highlight w:val="white"/>
          <w:lang w:val="pt-BR"/>
        </w:rPr>
        <w:t>. Tổ chức và quản lí các hoạt động chu</w:t>
      </w:r>
      <w:r w:rsidR="00194323" w:rsidRPr="00F558A8">
        <w:rPr>
          <w:rFonts w:ascii="Times New Roman" w:hAnsi="Times New Roman"/>
          <w:b/>
          <w:iCs/>
          <w:sz w:val="27"/>
          <w:szCs w:val="27"/>
          <w:highlight w:val="white"/>
          <w:lang w:val="pt-BR"/>
        </w:rPr>
        <w:t xml:space="preserve">yên môn qua trang mạng </w:t>
      </w:r>
      <w:r w:rsidR="00272B34" w:rsidRPr="00F558A8">
        <w:rPr>
          <w:rFonts w:ascii="Times New Roman" w:hAnsi="Times New Roman"/>
          <w:b/>
          <w:iCs/>
          <w:sz w:val="27"/>
          <w:szCs w:val="27"/>
          <w:highlight w:val="white"/>
          <w:lang w:val="pt-BR"/>
        </w:rPr>
        <w:t>"</w:t>
      </w:r>
      <w:r w:rsidR="00272B34" w:rsidRPr="00F558A8">
        <w:rPr>
          <w:rFonts w:ascii="Times New Roman" w:hAnsi="Times New Roman"/>
          <w:b/>
          <w:sz w:val="27"/>
          <w:szCs w:val="27"/>
          <w:highlight w:val="white"/>
          <w:lang w:val="pt-BR"/>
        </w:rPr>
        <w:t>Trường học kết nối"</w:t>
      </w:r>
    </w:p>
    <w:p w14:paraId="1A52D056" w14:textId="4F663314" w:rsidR="00272B34" w:rsidRPr="00F558A8" w:rsidRDefault="00272B34" w:rsidP="00C80205">
      <w:pPr>
        <w:pStyle w:val="BodyText"/>
        <w:spacing w:after="0"/>
        <w:ind w:firstLine="709"/>
        <w:jc w:val="both"/>
        <w:rPr>
          <w:sz w:val="27"/>
          <w:szCs w:val="27"/>
          <w:lang w:val="vi-VN"/>
        </w:rPr>
      </w:pPr>
      <w:r w:rsidRPr="00F558A8">
        <w:rPr>
          <w:sz w:val="27"/>
          <w:szCs w:val="27"/>
          <w:lang w:val="vi-VN"/>
        </w:rPr>
        <w:t>T</w:t>
      </w:r>
      <w:r w:rsidRPr="00F558A8">
        <w:rPr>
          <w:sz w:val="27"/>
          <w:szCs w:val="27"/>
        </w:rPr>
        <w:t>ổ chức sinh hoạt Hội đồng bộ môn và</w:t>
      </w:r>
      <w:r w:rsidRPr="00F558A8">
        <w:rPr>
          <w:sz w:val="27"/>
          <w:szCs w:val="27"/>
          <w:lang w:val="vi-VN"/>
        </w:rPr>
        <w:t xml:space="preserve"> tổ chức </w:t>
      </w:r>
      <w:r w:rsidRPr="00F558A8">
        <w:rPr>
          <w:sz w:val="27"/>
          <w:szCs w:val="27"/>
        </w:rPr>
        <w:t>sinh hoạt cụm chuyên môn</w:t>
      </w:r>
      <w:r w:rsidRPr="00F558A8">
        <w:rPr>
          <w:sz w:val="27"/>
          <w:szCs w:val="27"/>
          <w:lang w:val="vi-VN"/>
        </w:rPr>
        <w:t>, trao đổi thông tin trên trang truonghocketnoi.edu.vn</w:t>
      </w:r>
      <w:r w:rsidR="005A2A90" w:rsidRPr="00F558A8">
        <w:rPr>
          <w:sz w:val="27"/>
          <w:szCs w:val="27"/>
        </w:rPr>
        <w:t>.</w:t>
      </w:r>
      <w:r w:rsidRPr="00F558A8">
        <w:rPr>
          <w:sz w:val="27"/>
          <w:szCs w:val="27"/>
          <w:lang w:val="vi-VN"/>
        </w:rPr>
        <w:t xml:space="preserve"> </w:t>
      </w:r>
    </w:p>
    <w:p w14:paraId="760F43CA" w14:textId="24F01AD3" w:rsidR="00272B34" w:rsidRPr="00F558A8" w:rsidRDefault="00272B34" w:rsidP="00C80205">
      <w:pPr>
        <w:ind w:firstLine="709"/>
        <w:jc w:val="both"/>
        <w:rPr>
          <w:sz w:val="27"/>
          <w:szCs w:val="27"/>
          <w:lang w:val="af-ZA"/>
        </w:rPr>
      </w:pPr>
      <w:r w:rsidRPr="00F558A8">
        <w:rPr>
          <w:sz w:val="27"/>
          <w:szCs w:val="27"/>
          <w:lang w:val="pt-BR"/>
        </w:rPr>
        <w:t xml:space="preserve">Tổ chức trao đổi và chia sẻ thông tin, xây dụng các chủ đề tích hợp. </w:t>
      </w:r>
      <w:r w:rsidR="005A2A90" w:rsidRPr="00F558A8">
        <w:rPr>
          <w:sz w:val="27"/>
          <w:szCs w:val="27"/>
          <w:lang w:val="pt-BR"/>
        </w:rPr>
        <w:t xml:space="preserve">Các đề tài tham gia dự thi </w:t>
      </w:r>
      <w:r w:rsidRPr="00F558A8">
        <w:rPr>
          <w:sz w:val="27"/>
          <w:szCs w:val="27"/>
          <w:lang w:val="af-ZA"/>
        </w:rPr>
        <w:t xml:space="preserve">Cuộc thi Khoa học Kỹ thuật dành cho học sinh trung học </w:t>
      </w:r>
      <w:r w:rsidR="005A2A90" w:rsidRPr="00F558A8">
        <w:rPr>
          <w:sz w:val="27"/>
          <w:szCs w:val="27"/>
          <w:lang w:val="pt-BR"/>
        </w:rPr>
        <w:t xml:space="preserve">của tỉnh và quốc gia đều được đăng ký và chấm thi trực tiếp </w:t>
      </w:r>
      <w:r w:rsidR="005A2A90" w:rsidRPr="00F558A8">
        <w:rPr>
          <w:sz w:val="27"/>
          <w:szCs w:val="27"/>
          <w:lang w:val="af-ZA"/>
        </w:rPr>
        <w:t xml:space="preserve">trên trang mạng </w:t>
      </w:r>
      <w:r w:rsidR="005A2A90" w:rsidRPr="00F558A8">
        <w:rPr>
          <w:iCs/>
          <w:sz w:val="27"/>
          <w:szCs w:val="27"/>
          <w:highlight w:val="white"/>
          <w:lang w:val="pt-BR"/>
        </w:rPr>
        <w:t>"</w:t>
      </w:r>
      <w:r w:rsidR="005A2A90" w:rsidRPr="00F558A8">
        <w:rPr>
          <w:sz w:val="27"/>
          <w:szCs w:val="27"/>
          <w:highlight w:val="white"/>
          <w:lang w:val="pt-BR"/>
        </w:rPr>
        <w:t>Trường học kết nối"</w:t>
      </w:r>
      <w:r w:rsidRPr="00F558A8">
        <w:rPr>
          <w:sz w:val="27"/>
          <w:szCs w:val="27"/>
          <w:lang w:val="af-ZA"/>
        </w:rPr>
        <w:t>.</w:t>
      </w:r>
    </w:p>
    <w:p w14:paraId="42A88056" w14:textId="77777777" w:rsidR="00272B34" w:rsidRPr="00F558A8" w:rsidRDefault="00A471A4" w:rsidP="00C80205">
      <w:pPr>
        <w:pStyle w:val="BodyText"/>
        <w:spacing w:after="0"/>
        <w:ind w:firstLine="709"/>
        <w:jc w:val="both"/>
        <w:rPr>
          <w:b/>
          <w:sz w:val="27"/>
          <w:szCs w:val="27"/>
          <w:highlight w:val="white"/>
          <w:lang w:val="pt-BR"/>
        </w:rPr>
      </w:pPr>
      <w:r w:rsidRPr="00F558A8">
        <w:rPr>
          <w:b/>
          <w:sz w:val="27"/>
          <w:szCs w:val="27"/>
          <w:highlight w:val="white"/>
          <w:u w:color="FF0000"/>
          <w:lang w:val="pt-BR"/>
        </w:rPr>
        <w:t>5</w:t>
      </w:r>
      <w:r w:rsidR="00194323" w:rsidRPr="00F558A8">
        <w:rPr>
          <w:b/>
          <w:sz w:val="27"/>
          <w:szCs w:val="27"/>
          <w:highlight w:val="white"/>
          <w:u w:color="FF0000"/>
          <w:lang w:val="pt-BR"/>
        </w:rPr>
        <w:t>.</w:t>
      </w:r>
      <w:r w:rsidR="00816E57" w:rsidRPr="00F558A8">
        <w:rPr>
          <w:b/>
          <w:sz w:val="27"/>
          <w:szCs w:val="27"/>
          <w:highlight w:val="white"/>
          <w:u w:color="FF0000"/>
          <w:lang w:val="pt-BR"/>
        </w:rPr>
        <w:t>5</w:t>
      </w:r>
      <w:r w:rsidR="00272B34" w:rsidRPr="00F558A8">
        <w:rPr>
          <w:b/>
          <w:sz w:val="27"/>
          <w:szCs w:val="27"/>
          <w:highlight w:val="white"/>
          <w:u w:color="FF0000"/>
          <w:lang w:val="pt-BR"/>
        </w:rPr>
        <w:t>. Quản lý</w:t>
      </w:r>
      <w:r w:rsidR="00272B34" w:rsidRPr="00F558A8">
        <w:rPr>
          <w:b/>
          <w:sz w:val="27"/>
          <w:szCs w:val="27"/>
          <w:highlight w:val="white"/>
          <w:lang w:val="pt-BR"/>
        </w:rPr>
        <w:t xml:space="preserve"> dạy thêm học thêm, chấn chỉnh việc lạm dụng hồ sơ, sổ</w:t>
      </w:r>
      <w:r w:rsidR="00272B34" w:rsidRPr="00F558A8">
        <w:rPr>
          <w:b/>
          <w:color w:val="000000"/>
          <w:sz w:val="27"/>
          <w:szCs w:val="27"/>
          <w:highlight w:val="white"/>
          <w:lang w:val="pt-BR"/>
        </w:rPr>
        <w:t xml:space="preserve"> sách trong nhà trường; khắc phục tình trạng lạm thu</w:t>
      </w:r>
    </w:p>
    <w:p w14:paraId="769A31DD" w14:textId="5D1F7DE5" w:rsidR="00272B34" w:rsidRPr="00F558A8" w:rsidRDefault="00272B34" w:rsidP="00C80205">
      <w:pPr>
        <w:ind w:firstLine="709"/>
        <w:jc w:val="both"/>
        <w:rPr>
          <w:sz w:val="27"/>
          <w:szCs w:val="27"/>
          <w:lang w:val="pt-BR"/>
        </w:rPr>
      </w:pPr>
      <w:r w:rsidRPr="00F558A8">
        <w:rPr>
          <w:sz w:val="27"/>
          <w:szCs w:val="27"/>
          <w:lang w:val="pt-BR"/>
        </w:rPr>
        <w:t>Quan tâm quản lý các hoạt động của giáo dục không chính quy tại các trung tâm ngoại ngữ, tin học, trung tâm bồi dưỡng kiến thức phổ thông và dạy thêm học thêm tại các trường phổ thông trên địa bàn</w:t>
      </w:r>
      <w:r w:rsidR="004A5E69" w:rsidRPr="00F558A8">
        <w:rPr>
          <w:sz w:val="27"/>
          <w:szCs w:val="27"/>
          <w:lang w:val="pt-BR"/>
        </w:rPr>
        <w:t>.....</w:t>
      </w:r>
    </w:p>
    <w:p w14:paraId="59103AE1" w14:textId="1E94460D" w:rsidR="00CB1E54" w:rsidRPr="00F558A8" w:rsidRDefault="00272B34" w:rsidP="00A94AD2">
      <w:pPr>
        <w:tabs>
          <w:tab w:val="left" w:pos="8222"/>
        </w:tabs>
        <w:ind w:firstLine="709"/>
        <w:jc w:val="both"/>
        <w:rPr>
          <w:b/>
          <w:sz w:val="27"/>
          <w:szCs w:val="27"/>
          <w:highlight w:val="white"/>
          <w:lang w:val="pt-BR"/>
        </w:rPr>
      </w:pPr>
      <w:r w:rsidRPr="00F558A8">
        <w:rPr>
          <w:sz w:val="27"/>
          <w:szCs w:val="27"/>
          <w:lang w:val="pt-BR"/>
        </w:rPr>
        <w:t xml:space="preserve">Thường xuyên tiến hành kiểm tra hoạt động dạy thêm học thêm trong và ngoài nhà trường. Hiện nay công tác quản lý dạy thêm học thêm tại tỉnh </w:t>
      </w:r>
      <w:r w:rsidR="00004686" w:rsidRPr="00F558A8">
        <w:rPr>
          <w:sz w:val="27"/>
          <w:szCs w:val="27"/>
          <w:lang w:val="pt-BR"/>
        </w:rPr>
        <w:t xml:space="preserve">cơ bản </w:t>
      </w:r>
      <w:r w:rsidR="00A94AD2">
        <w:rPr>
          <w:sz w:val="27"/>
          <w:szCs w:val="27"/>
          <w:lang w:val="pt-BR"/>
        </w:rPr>
        <w:t>không có những vấn đề nảy sinh.</w:t>
      </w:r>
    </w:p>
    <w:p w14:paraId="5EAFBE7A" w14:textId="51E705E5" w:rsidR="00CB1E54" w:rsidRPr="00F558A8" w:rsidRDefault="00004686" w:rsidP="00C80205">
      <w:pPr>
        <w:ind w:firstLine="709"/>
        <w:jc w:val="both"/>
        <w:rPr>
          <w:sz w:val="27"/>
          <w:szCs w:val="27"/>
          <w:lang w:val="af-ZA"/>
        </w:rPr>
      </w:pPr>
      <w:r w:rsidRPr="00F558A8">
        <w:rPr>
          <w:sz w:val="27"/>
          <w:szCs w:val="27"/>
        </w:rPr>
        <w:t xml:space="preserve">Chỉ đạo thực hiện nghiêm túc </w:t>
      </w:r>
      <w:r w:rsidR="00CB1E54" w:rsidRPr="00F558A8">
        <w:rPr>
          <w:sz w:val="27"/>
          <w:szCs w:val="27"/>
        </w:rPr>
        <w:t xml:space="preserve">Công văn số 7083/UBND-GD ngày 29/9/2017 </w:t>
      </w:r>
      <w:r w:rsidRPr="00F558A8">
        <w:rPr>
          <w:sz w:val="27"/>
          <w:szCs w:val="27"/>
        </w:rPr>
        <w:t xml:space="preserve">của UBND Tỉnh về </w:t>
      </w:r>
      <w:r w:rsidR="00CB1E54" w:rsidRPr="00F558A8">
        <w:rPr>
          <w:sz w:val="27"/>
          <w:szCs w:val="27"/>
        </w:rPr>
        <w:t>chấn chỉnh t</w:t>
      </w:r>
      <w:r w:rsidRPr="00F558A8">
        <w:rPr>
          <w:sz w:val="27"/>
          <w:szCs w:val="27"/>
        </w:rPr>
        <w:t>ình trạng lạm thu đầu năm học</w:t>
      </w:r>
      <w:r w:rsidR="00CB1E54" w:rsidRPr="00F558A8">
        <w:rPr>
          <w:sz w:val="27"/>
          <w:szCs w:val="27"/>
          <w:lang w:val="af-ZA"/>
        </w:rPr>
        <w:t>.</w:t>
      </w:r>
    </w:p>
    <w:p w14:paraId="172B2803" w14:textId="145BA86F" w:rsidR="00CB1E54" w:rsidRPr="00F558A8" w:rsidRDefault="00CB1E54" w:rsidP="00C80205">
      <w:pPr>
        <w:ind w:firstLine="709"/>
        <w:jc w:val="both"/>
        <w:rPr>
          <w:sz w:val="27"/>
          <w:szCs w:val="27"/>
          <w:lang w:val="af-ZA"/>
        </w:rPr>
      </w:pPr>
      <w:r w:rsidRPr="00F558A8">
        <w:rPr>
          <w:sz w:val="27"/>
          <w:szCs w:val="27"/>
          <w:lang w:val="af-ZA"/>
        </w:rPr>
        <w:lastRenderedPageBreak/>
        <w:t>Quy định về mức thu dạy thêm học thêm trong nhà trường (Công văn liên ngành tài chính-Giáo dục và Đào tạo số 1305/CV LN GDĐT-TC ngày 10/6/2014 về việc hướng dẫn thu, chi tiền dạy thêm học thêm).</w:t>
      </w:r>
    </w:p>
    <w:p w14:paraId="4A678649" w14:textId="4FB52488" w:rsidR="00F35C45" w:rsidRPr="00F558A8" w:rsidRDefault="00F35C45" w:rsidP="00C80205">
      <w:pPr>
        <w:ind w:firstLine="709"/>
        <w:jc w:val="both"/>
        <w:rPr>
          <w:sz w:val="27"/>
          <w:szCs w:val="27"/>
          <w:lang w:val="vi-VN"/>
        </w:rPr>
      </w:pPr>
      <w:r w:rsidRPr="00F558A8">
        <w:rPr>
          <w:sz w:val="27"/>
          <w:szCs w:val="27"/>
          <w:lang w:val="vi-VN"/>
        </w:rPr>
        <w:t xml:space="preserve">Tiếp tục chấn chỉnh </w:t>
      </w:r>
      <w:r w:rsidRPr="00F558A8">
        <w:rPr>
          <w:sz w:val="27"/>
          <w:szCs w:val="27"/>
          <w:lang w:val="de-DE"/>
        </w:rPr>
        <w:t>việc lạm dụng hồ sơ, sổ sách trong nhà trường</w:t>
      </w:r>
      <w:r w:rsidRPr="00F558A8">
        <w:rPr>
          <w:sz w:val="27"/>
          <w:szCs w:val="27"/>
          <w:lang w:val="vi-VN"/>
        </w:rPr>
        <w:t xml:space="preserve"> theo yêu cầu </w:t>
      </w:r>
      <w:r w:rsidRPr="00F558A8">
        <w:rPr>
          <w:sz w:val="27"/>
          <w:szCs w:val="27"/>
          <w:highlight w:val="white"/>
          <w:lang w:val="pt-BR"/>
        </w:rPr>
        <w:t>Chỉ thị số 138/CT-BGDĐT ngày 18/01/2019 của Bộ trưởng Bộ GDĐT</w:t>
      </w:r>
      <w:r w:rsidRPr="00F558A8">
        <w:rPr>
          <w:sz w:val="27"/>
          <w:szCs w:val="27"/>
          <w:lang w:val="de-DE"/>
        </w:rPr>
        <w:t xml:space="preserve"> (Công văn số 198/SGDĐT-GDTrH ngày 28/01/2019 của Sở Giáo dục và Đào tạo).</w:t>
      </w:r>
    </w:p>
    <w:p w14:paraId="00976C13" w14:textId="10DA9F85" w:rsidR="00F35C45" w:rsidRPr="00F558A8" w:rsidRDefault="00F35C45" w:rsidP="009B3DE8">
      <w:pPr>
        <w:ind w:firstLine="709"/>
        <w:jc w:val="both"/>
        <w:rPr>
          <w:sz w:val="27"/>
          <w:szCs w:val="27"/>
          <w:lang w:val="af-ZA"/>
        </w:rPr>
      </w:pPr>
      <w:r w:rsidRPr="00F558A8">
        <w:rPr>
          <w:sz w:val="27"/>
          <w:szCs w:val="27"/>
          <w:lang w:val="af-ZA"/>
        </w:rPr>
        <w:t>Tài liệu tham khảo được các trường mua sắm, bổ sung hàng năm theo quy định; tăng cường đầu sách cho thư viện.</w:t>
      </w:r>
    </w:p>
    <w:p w14:paraId="4C19C84E" w14:textId="77777777" w:rsidR="00272B34" w:rsidRPr="00F558A8" w:rsidRDefault="00A471A4" w:rsidP="009B3DE8">
      <w:pPr>
        <w:pStyle w:val="BodyText2"/>
        <w:spacing w:before="120"/>
        <w:ind w:firstLine="709"/>
        <w:rPr>
          <w:rFonts w:ascii="Times New Roman" w:hAnsi="Times New Roman"/>
          <w:b/>
          <w:sz w:val="27"/>
          <w:szCs w:val="27"/>
          <w:lang w:val="de-DE"/>
        </w:rPr>
      </w:pPr>
      <w:r w:rsidRPr="00F558A8">
        <w:rPr>
          <w:rFonts w:ascii="Times New Roman" w:hAnsi="Times New Roman"/>
          <w:b/>
          <w:sz w:val="27"/>
          <w:szCs w:val="27"/>
          <w:lang w:val="de-DE"/>
        </w:rPr>
        <w:t>6</w:t>
      </w:r>
      <w:r w:rsidR="00272B34" w:rsidRPr="00F558A8">
        <w:rPr>
          <w:rFonts w:ascii="Times New Roman" w:hAnsi="Times New Roman"/>
          <w:b/>
          <w:sz w:val="27"/>
          <w:szCs w:val="27"/>
          <w:lang w:val="de-DE"/>
        </w:rPr>
        <w:t>. Quy mô phát triển trường, lớp, học sinh, giáo viên</w:t>
      </w:r>
    </w:p>
    <w:p w14:paraId="1426230B" w14:textId="77777777" w:rsidR="005A2A90" w:rsidRPr="00F558A8" w:rsidRDefault="00A471A4" w:rsidP="009B3DE8">
      <w:pPr>
        <w:pStyle w:val="BodyText"/>
        <w:spacing w:after="0"/>
        <w:ind w:firstLine="709"/>
        <w:jc w:val="both"/>
        <w:rPr>
          <w:b/>
          <w:sz w:val="27"/>
          <w:szCs w:val="27"/>
          <w:lang w:val="de-DE"/>
        </w:rPr>
      </w:pPr>
      <w:r w:rsidRPr="00F558A8">
        <w:rPr>
          <w:b/>
          <w:sz w:val="27"/>
          <w:szCs w:val="27"/>
          <w:lang w:val="de-DE"/>
        </w:rPr>
        <w:t>6</w:t>
      </w:r>
      <w:r w:rsidR="00272B34" w:rsidRPr="00F558A8">
        <w:rPr>
          <w:b/>
          <w:sz w:val="27"/>
          <w:szCs w:val="27"/>
          <w:lang w:val="de-DE"/>
        </w:rPr>
        <w:t xml:space="preserve">.1. Phát triển mạng lưới trường lớp THCS, THPT </w:t>
      </w:r>
    </w:p>
    <w:p w14:paraId="161B1F9C" w14:textId="06E97678" w:rsidR="0054594D" w:rsidRPr="00F558A8" w:rsidRDefault="00272B34" w:rsidP="009B3DE8">
      <w:pPr>
        <w:pStyle w:val="BodyText"/>
        <w:spacing w:after="0"/>
        <w:ind w:firstLine="709"/>
        <w:jc w:val="both"/>
        <w:rPr>
          <w:sz w:val="27"/>
          <w:szCs w:val="27"/>
          <w:lang w:val="de-DE"/>
        </w:rPr>
      </w:pPr>
      <w:r w:rsidRPr="00F558A8">
        <w:rPr>
          <w:sz w:val="27"/>
          <w:szCs w:val="27"/>
          <w:lang w:val="de-DE"/>
        </w:rPr>
        <w:t xml:space="preserve">Cấp THPT: </w:t>
      </w:r>
      <w:r w:rsidR="00CB1E54" w:rsidRPr="00F558A8">
        <w:rPr>
          <w:sz w:val="27"/>
          <w:szCs w:val="27"/>
          <w:lang w:val="de-DE"/>
        </w:rPr>
        <w:t>3</w:t>
      </w:r>
      <w:r w:rsidR="00C1621C" w:rsidRPr="00F558A8">
        <w:rPr>
          <w:sz w:val="27"/>
          <w:szCs w:val="27"/>
          <w:lang w:val="de-DE"/>
        </w:rPr>
        <w:t>7</w:t>
      </w:r>
      <w:r w:rsidRPr="00F558A8">
        <w:rPr>
          <w:sz w:val="27"/>
          <w:szCs w:val="27"/>
          <w:lang w:val="de-DE"/>
        </w:rPr>
        <w:t xml:space="preserve"> trường</w:t>
      </w:r>
      <w:r w:rsidR="005A2A90" w:rsidRPr="00F558A8">
        <w:rPr>
          <w:sz w:val="27"/>
          <w:szCs w:val="27"/>
          <w:lang w:val="de-DE"/>
        </w:rPr>
        <w:t xml:space="preserve">, </w:t>
      </w:r>
      <w:r w:rsidR="00004686" w:rsidRPr="00F558A8">
        <w:rPr>
          <w:sz w:val="27"/>
          <w:szCs w:val="27"/>
          <w:lang w:val="de-DE"/>
        </w:rPr>
        <w:t>(</w:t>
      </w:r>
      <w:r w:rsidR="00CB1E54" w:rsidRPr="00F558A8">
        <w:rPr>
          <w:sz w:val="27"/>
          <w:szCs w:val="27"/>
          <w:lang w:val="de-DE"/>
        </w:rPr>
        <w:t>3</w:t>
      </w:r>
      <w:r w:rsidR="00C1621C" w:rsidRPr="00F558A8">
        <w:rPr>
          <w:sz w:val="27"/>
          <w:szCs w:val="27"/>
          <w:lang w:val="de-DE"/>
        </w:rPr>
        <w:t>6</w:t>
      </w:r>
      <w:r w:rsidR="0057056A" w:rsidRPr="00F558A8">
        <w:rPr>
          <w:sz w:val="27"/>
          <w:szCs w:val="27"/>
          <w:lang w:val="de-DE"/>
        </w:rPr>
        <w:t xml:space="preserve"> </w:t>
      </w:r>
      <w:r w:rsidR="005A2A90" w:rsidRPr="00F558A8">
        <w:rPr>
          <w:sz w:val="27"/>
          <w:szCs w:val="27"/>
          <w:lang w:val="de-DE"/>
        </w:rPr>
        <w:t>trường THPT</w:t>
      </w:r>
      <w:r w:rsidR="00004686" w:rsidRPr="00F558A8">
        <w:rPr>
          <w:sz w:val="27"/>
          <w:szCs w:val="27"/>
          <w:lang w:val="de-DE"/>
        </w:rPr>
        <w:t>; 01 trường THCS&amp;THPT)</w:t>
      </w:r>
      <w:r w:rsidRPr="00F558A8">
        <w:rPr>
          <w:sz w:val="27"/>
          <w:szCs w:val="27"/>
          <w:lang w:val="de-DE"/>
        </w:rPr>
        <w:t xml:space="preserve"> trong đó</w:t>
      </w:r>
      <w:r w:rsidR="001C20D0" w:rsidRPr="00F558A8">
        <w:rPr>
          <w:sz w:val="27"/>
          <w:szCs w:val="27"/>
          <w:lang w:val="de-DE"/>
        </w:rPr>
        <w:t xml:space="preserve"> </w:t>
      </w:r>
      <w:r w:rsidRPr="00F558A8">
        <w:rPr>
          <w:sz w:val="27"/>
          <w:szCs w:val="27"/>
          <w:lang w:val="de-DE"/>
        </w:rPr>
        <w:t>Trường  chuyên: 01; Trường PT DTNT: 01</w:t>
      </w:r>
      <w:r w:rsidR="005A2A90" w:rsidRPr="00F558A8">
        <w:rPr>
          <w:sz w:val="27"/>
          <w:szCs w:val="27"/>
          <w:lang w:val="de-DE"/>
        </w:rPr>
        <w:t xml:space="preserve"> và </w:t>
      </w:r>
      <w:r w:rsidRPr="00F558A8">
        <w:rPr>
          <w:sz w:val="27"/>
          <w:szCs w:val="27"/>
          <w:lang w:val="de-DE"/>
        </w:rPr>
        <w:t>Trường THPT ngoài công lập: 0</w:t>
      </w:r>
      <w:r w:rsidR="00CB1E54" w:rsidRPr="00F558A8">
        <w:rPr>
          <w:sz w:val="27"/>
          <w:szCs w:val="27"/>
          <w:lang w:val="de-DE"/>
        </w:rPr>
        <w:t>1</w:t>
      </w:r>
      <w:r w:rsidR="0054594D" w:rsidRPr="00F558A8">
        <w:rPr>
          <w:sz w:val="27"/>
          <w:szCs w:val="27"/>
          <w:lang w:val="de-DE"/>
        </w:rPr>
        <w:t>.</w:t>
      </w:r>
    </w:p>
    <w:p w14:paraId="29986982" w14:textId="06610AEB" w:rsidR="00272B34" w:rsidRPr="00F558A8" w:rsidRDefault="0054594D" w:rsidP="009B3DE8">
      <w:pPr>
        <w:pStyle w:val="BodyText"/>
        <w:spacing w:after="0"/>
        <w:ind w:firstLine="709"/>
        <w:jc w:val="both"/>
        <w:rPr>
          <w:sz w:val="27"/>
          <w:szCs w:val="27"/>
          <w:lang w:val="de-DE"/>
        </w:rPr>
      </w:pPr>
      <w:r w:rsidRPr="00F558A8">
        <w:rPr>
          <w:sz w:val="27"/>
          <w:szCs w:val="27"/>
          <w:lang w:val="de-DE"/>
        </w:rPr>
        <w:t>Cấp THCS</w:t>
      </w:r>
      <w:r w:rsidR="00272B34" w:rsidRPr="00F558A8">
        <w:rPr>
          <w:sz w:val="27"/>
          <w:szCs w:val="27"/>
          <w:lang w:val="de-DE"/>
        </w:rPr>
        <w:t>: 13</w:t>
      </w:r>
      <w:r w:rsidR="001C20D0" w:rsidRPr="00F558A8">
        <w:rPr>
          <w:sz w:val="27"/>
          <w:szCs w:val="27"/>
          <w:lang w:val="de-DE"/>
        </w:rPr>
        <w:t>2</w:t>
      </w:r>
      <w:r w:rsidR="00272B34" w:rsidRPr="00F558A8">
        <w:rPr>
          <w:sz w:val="27"/>
          <w:szCs w:val="27"/>
          <w:lang w:val="de-DE"/>
        </w:rPr>
        <w:t xml:space="preserve"> trường</w:t>
      </w:r>
      <w:r w:rsidRPr="00F558A8">
        <w:rPr>
          <w:sz w:val="27"/>
          <w:szCs w:val="27"/>
          <w:lang w:val="de-DE"/>
        </w:rPr>
        <w:t>, 1</w:t>
      </w:r>
      <w:r w:rsidR="00C1621C" w:rsidRPr="00F558A8">
        <w:rPr>
          <w:sz w:val="27"/>
          <w:szCs w:val="27"/>
          <w:lang w:val="de-DE"/>
        </w:rPr>
        <w:t>16</w:t>
      </w:r>
      <w:r w:rsidRPr="00F558A8">
        <w:rPr>
          <w:sz w:val="27"/>
          <w:szCs w:val="27"/>
          <w:lang w:val="de-DE"/>
        </w:rPr>
        <w:t xml:space="preserve"> </w:t>
      </w:r>
      <w:r w:rsidR="00272B34" w:rsidRPr="00F558A8">
        <w:rPr>
          <w:sz w:val="27"/>
          <w:szCs w:val="27"/>
          <w:lang w:val="de-DE"/>
        </w:rPr>
        <w:t>trường THCS</w:t>
      </w:r>
      <w:r w:rsidRPr="00F558A8">
        <w:rPr>
          <w:sz w:val="27"/>
          <w:szCs w:val="27"/>
          <w:lang w:val="de-DE"/>
        </w:rPr>
        <w:t xml:space="preserve"> và 1</w:t>
      </w:r>
      <w:r w:rsidR="00C1621C" w:rsidRPr="00F558A8">
        <w:rPr>
          <w:sz w:val="27"/>
          <w:szCs w:val="27"/>
          <w:lang w:val="de-DE"/>
        </w:rPr>
        <w:t>6</w:t>
      </w:r>
      <w:r w:rsidRPr="00F558A8">
        <w:rPr>
          <w:sz w:val="27"/>
          <w:szCs w:val="27"/>
          <w:lang w:val="de-DE"/>
        </w:rPr>
        <w:t xml:space="preserve"> trường </w:t>
      </w:r>
      <w:r w:rsidR="00C1621C" w:rsidRPr="00F558A8">
        <w:rPr>
          <w:sz w:val="27"/>
          <w:szCs w:val="27"/>
          <w:lang w:val="de-DE"/>
        </w:rPr>
        <w:t>TH&amp;TH</w:t>
      </w:r>
      <w:r w:rsidRPr="00F558A8">
        <w:rPr>
          <w:sz w:val="27"/>
          <w:szCs w:val="27"/>
          <w:lang w:val="de-DE"/>
        </w:rPr>
        <w:t>CS</w:t>
      </w:r>
      <w:r w:rsidR="00C1621C" w:rsidRPr="00F558A8">
        <w:rPr>
          <w:sz w:val="27"/>
          <w:szCs w:val="27"/>
          <w:lang w:val="de-DE"/>
        </w:rPr>
        <w:t xml:space="preserve"> (trong đó Trường THCS DTNT : 02)</w:t>
      </w:r>
      <w:r w:rsidRPr="00F558A8">
        <w:rPr>
          <w:sz w:val="27"/>
          <w:szCs w:val="27"/>
          <w:lang w:val="de-DE"/>
        </w:rPr>
        <w:t>.</w:t>
      </w:r>
    </w:p>
    <w:p w14:paraId="57145ECA" w14:textId="53EC8B33" w:rsidR="00272B34" w:rsidRPr="00F558A8" w:rsidRDefault="00A471A4" w:rsidP="009B3DE8">
      <w:pPr>
        <w:pStyle w:val="BodyText"/>
        <w:tabs>
          <w:tab w:val="left" w:pos="4820"/>
        </w:tabs>
        <w:spacing w:after="0"/>
        <w:ind w:firstLine="709"/>
        <w:rPr>
          <w:b/>
          <w:sz w:val="27"/>
          <w:szCs w:val="27"/>
          <w:lang w:val="de-DE"/>
        </w:rPr>
      </w:pPr>
      <w:r w:rsidRPr="00F558A8">
        <w:rPr>
          <w:b/>
          <w:sz w:val="27"/>
          <w:szCs w:val="27"/>
          <w:lang w:val="de-DE"/>
        </w:rPr>
        <w:t>6</w:t>
      </w:r>
      <w:r w:rsidR="00272B34" w:rsidRPr="00F558A8">
        <w:rPr>
          <w:b/>
          <w:sz w:val="27"/>
          <w:szCs w:val="27"/>
          <w:lang w:val="de-DE"/>
        </w:rPr>
        <w:t>.2. Quy mô phát triển học sinh</w:t>
      </w:r>
    </w:p>
    <w:p w14:paraId="43855EEC" w14:textId="77777777" w:rsidR="00272B34" w:rsidRPr="00F558A8" w:rsidRDefault="00272B34" w:rsidP="009B3DE8">
      <w:pPr>
        <w:pStyle w:val="BodyText"/>
        <w:tabs>
          <w:tab w:val="left" w:pos="4820"/>
        </w:tabs>
        <w:spacing w:after="0"/>
        <w:ind w:firstLine="709"/>
        <w:rPr>
          <w:sz w:val="27"/>
          <w:szCs w:val="27"/>
          <w:lang w:val="de-DE"/>
        </w:rPr>
      </w:pPr>
      <w:r w:rsidRPr="00F558A8">
        <w:rPr>
          <w:sz w:val="27"/>
          <w:szCs w:val="27"/>
          <w:lang w:val="de-DE"/>
        </w:rPr>
        <w:t>Cấp THPT</w:t>
      </w:r>
    </w:p>
    <w:p w14:paraId="6E976105" w14:textId="13429F19" w:rsidR="00272B34" w:rsidRPr="00F558A8" w:rsidRDefault="00272B34" w:rsidP="009B3DE8">
      <w:pPr>
        <w:pStyle w:val="BodyText"/>
        <w:spacing w:after="0"/>
        <w:ind w:firstLine="709"/>
        <w:jc w:val="both"/>
        <w:rPr>
          <w:sz w:val="27"/>
          <w:szCs w:val="27"/>
          <w:lang w:val="de-DE"/>
        </w:rPr>
      </w:pPr>
      <w:r w:rsidRPr="00F558A8">
        <w:rPr>
          <w:sz w:val="27"/>
          <w:szCs w:val="27"/>
          <w:lang w:val="de-DE"/>
        </w:rPr>
        <w:t>Tổng số học sinh: 3</w:t>
      </w:r>
      <w:r w:rsidR="00C1621C" w:rsidRPr="00F558A8">
        <w:rPr>
          <w:sz w:val="27"/>
          <w:szCs w:val="27"/>
          <w:lang w:val="de-DE"/>
        </w:rPr>
        <w:t>7</w:t>
      </w:r>
      <w:r w:rsidRPr="00F558A8">
        <w:rPr>
          <w:sz w:val="27"/>
          <w:szCs w:val="27"/>
          <w:lang w:val="de-DE"/>
        </w:rPr>
        <w:t>.</w:t>
      </w:r>
      <w:r w:rsidR="00C1621C" w:rsidRPr="00F558A8">
        <w:rPr>
          <w:sz w:val="27"/>
          <w:szCs w:val="27"/>
          <w:lang w:val="de-DE"/>
        </w:rPr>
        <w:t>017</w:t>
      </w:r>
      <w:r w:rsidRPr="00F558A8">
        <w:rPr>
          <w:sz w:val="27"/>
          <w:szCs w:val="27"/>
          <w:lang w:val="de-DE"/>
        </w:rPr>
        <w:t xml:space="preserve"> hs</w:t>
      </w:r>
      <w:r w:rsidR="008837B6" w:rsidRPr="00F558A8">
        <w:rPr>
          <w:sz w:val="27"/>
          <w:szCs w:val="27"/>
          <w:lang w:val="de-DE"/>
        </w:rPr>
        <w:t>, s</w:t>
      </w:r>
      <w:r w:rsidRPr="00F558A8">
        <w:rPr>
          <w:sz w:val="27"/>
          <w:szCs w:val="27"/>
          <w:lang w:val="de-DE"/>
        </w:rPr>
        <w:t>ố học sinh công lập:</w:t>
      </w:r>
      <w:r w:rsidRPr="00F558A8">
        <w:rPr>
          <w:sz w:val="27"/>
          <w:szCs w:val="27"/>
          <w:lang w:val="de-DE"/>
        </w:rPr>
        <w:tab/>
        <w:t>3</w:t>
      </w:r>
      <w:r w:rsidR="00CB1E54" w:rsidRPr="00F558A8">
        <w:rPr>
          <w:sz w:val="27"/>
          <w:szCs w:val="27"/>
          <w:lang w:val="de-DE"/>
        </w:rPr>
        <w:t>6</w:t>
      </w:r>
      <w:r w:rsidRPr="00F558A8">
        <w:rPr>
          <w:sz w:val="27"/>
          <w:szCs w:val="27"/>
          <w:lang w:val="de-DE"/>
        </w:rPr>
        <w:t>.</w:t>
      </w:r>
      <w:r w:rsidR="00C1621C" w:rsidRPr="00F558A8">
        <w:rPr>
          <w:sz w:val="27"/>
          <w:szCs w:val="27"/>
          <w:lang w:val="de-DE"/>
        </w:rPr>
        <w:t>723</w:t>
      </w:r>
      <w:r w:rsidRPr="00F558A8">
        <w:rPr>
          <w:sz w:val="27"/>
          <w:szCs w:val="27"/>
          <w:lang w:val="de-DE"/>
        </w:rPr>
        <w:t xml:space="preserve"> hs</w:t>
      </w:r>
      <w:r w:rsidR="008837B6" w:rsidRPr="00F558A8">
        <w:rPr>
          <w:sz w:val="27"/>
          <w:szCs w:val="27"/>
          <w:lang w:val="de-DE"/>
        </w:rPr>
        <w:t>, s</w:t>
      </w:r>
      <w:r w:rsidRPr="00F558A8">
        <w:rPr>
          <w:sz w:val="27"/>
          <w:szCs w:val="27"/>
          <w:lang w:val="de-DE"/>
        </w:rPr>
        <w:t xml:space="preserve">ố </w:t>
      </w:r>
      <w:r w:rsidR="008837B6" w:rsidRPr="00F558A8">
        <w:rPr>
          <w:sz w:val="27"/>
          <w:szCs w:val="27"/>
          <w:lang w:val="de-DE"/>
        </w:rPr>
        <w:t xml:space="preserve">học sinh ngoài công lập: </w:t>
      </w:r>
      <w:r w:rsidR="00C1621C" w:rsidRPr="00F558A8">
        <w:rPr>
          <w:sz w:val="27"/>
          <w:szCs w:val="27"/>
          <w:lang w:val="de-DE"/>
        </w:rPr>
        <w:t>29</w:t>
      </w:r>
      <w:r w:rsidR="00CB1E54" w:rsidRPr="00F558A8">
        <w:rPr>
          <w:sz w:val="27"/>
          <w:szCs w:val="27"/>
          <w:lang w:val="de-DE"/>
        </w:rPr>
        <w:t>4</w:t>
      </w:r>
      <w:r w:rsidRPr="00F558A8">
        <w:rPr>
          <w:sz w:val="27"/>
          <w:szCs w:val="27"/>
          <w:lang w:val="de-DE"/>
        </w:rPr>
        <w:t xml:space="preserve"> hs</w:t>
      </w:r>
      <w:r w:rsidR="008837B6" w:rsidRPr="00F558A8">
        <w:rPr>
          <w:sz w:val="27"/>
          <w:szCs w:val="27"/>
          <w:lang w:val="de-DE"/>
        </w:rPr>
        <w:t xml:space="preserve"> (t</w:t>
      </w:r>
      <w:r w:rsidRPr="00F558A8">
        <w:rPr>
          <w:sz w:val="27"/>
          <w:szCs w:val="27"/>
          <w:lang w:val="de-DE"/>
        </w:rPr>
        <w:t>rong đó:</w:t>
      </w:r>
      <w:r w:rsidR="008837B6" w:rsidRPr="00F558A8">
        <w:rPr>
          <w:sz w:val="27"/>
          <w:szCs w:val="27"/>
          <w:lang w:val="de-DE"/>
        </w:rPr>
        <w:t xml:space="preserve"> </w:t>
      </w:r>
      <w:r w:rsidRPr="00F558A8">
        <w:rPr>
          <w:sz w:val="27"/>
          <w:szCs w:val="27"/>
          <w:lang w:val="de-DE"/>
        </w:rPr>
        <w:t>nữ:</w:t>
      </w:r>
      <w:r w:rsidR="008837B6" w:rsidRPr="00F558A8">
        <w:rPr>
          <w:sz w:val="27"/>
          <w:szCs w:val="27"/>
          <w:lang w:val="de-DE"/>
        </w:rPr>
        <w:t xml:space="preserve"> </w:t>
      </w:r>
      <w:r w:rsidR="00CB1E54" w:rsidRPr="00F558A8">
        <w:rPr>
          <w:sz w:val="27"/>
          <w:szCs w:val="27"/>
          <w:lang w:val="de-DE"/>
        </w:rPr>
        <w:t>20.</w:t>
      </w:r>
      <w:r w:rsidR="00C1621C" w:rsidRPr="00F558A8">
        <w:rPr>
          <w:sz w:val="27"/>
          <w:szCs w:val="27"/>
          <w:lang w:val="de-DE"/>
        </w:rPr>
        <w:t>459</w:t>
      </w:r>
      <w:r w:rsidRPr="00F558A8">
        <w:rPr>
          <w:sz w:val="27"/>
          <w:szCs w:val="27"/>
          <w:lang w:val="de-DE"/>
        </w:rPr>
        <w:t xml:space="preserve"> hs,</w:t>
      </w:r>
      <w:r w:rsidR="008837B6" w:rsidRPr="00F558A8">
        <w:rPr>
          <w:sz w:val="27"/>
          <w:szCs w:val="27"/>
          <w:lang w:val="de-DE"/>
        </w:rPr>
        <w:t xml:space="preserve"> </w:t>
      </w:r>
      <w:r w:rsidRPr="00F558A8">
        <w:rPr>
          <w:sz w:val="27"/>
          <w:szCs w:val="27"/>
          <w:lang w:val="de-DE"/>
        </w:rPr>
        <w:t>tỉ lệ: 5</w:t>
      </w:r>
      <w:r w:rsidR="00CB1E54" w:rsidRPr="00F558A8">
        <w:rPr>
          <w:sz w:val="27"/>
          <w:szCs w:val="27"/>
          <w:lang w:val="de-DE"/>
        </w:rPr>
        <w:t>5</w:t>
      </w:r>
      <w:r w:rsidRPr="00F558A8">
        <w:rPr>
          <w:sz w:val="27"/>
          <w:szCs w:val="27"/>
          <w:lang w:val="de-DE"/>
        </w:rPr>
        <w:t>.</w:t>
      </w:r>
      <w:r w:rsidR="00C1621C" w:rsidRPr="00F558A8">
        <w:rPr>
          <w:sz w:val="27"/>
          <w:szCs w:val="27"/>
          <w:lang w:val="de-DE"/>
        </w:rPr>
        <w:t>27</w:t>
      </w:r>
      <w:r w:rsidRPr="00F558A8">
        <w:rPr>
          <w:sz w:val="27"/>
          <w:szCs w:val="27"/>
          <w:lang w:val="de-DE"/>
        </w:rPr>
        <w:t>%;</w:t>
      </w:r>
      <w:r w:rsidR="008837B6" w:rsidRPr="00F558A8">
        <w:rPr>
          <w:sz w:val="27"/>
          <w:szCs w:val="27"/>
          <w:lang w:val="de-DE"/>
        </w:rPr>
        <w:t xml:space="preserve"> s</w:t>
      </w:r>
      <w:r w:rsidRPr="00F558A8">
        <w:rPr>
          <w:sz w:val="27"/>
          <w:szCs w:val="27"/>
          <w:lang w:val="de-DE"/>
        </w:rPr>
        <w:t>ố học sinh dân tộc thiểu số: 1.</w:t>
      </w:r>
      <w:r w:rsidR="00CB1E54" w:rsidRPr="00F558A8">
        <w:rPr>
          <w:sz w:val="27"/>
          <w:szCs w:val="27"/>
          <w:lang w:val="de-DE"/>
        </w:rPr>
        <w:t>5</w:t>
      </w:r>
      <w:r w:rsidR="00C1621C" w:rsidRPr="00F558A8">
        <w:rPr>
          <w:sz w:val="27"/>
          <w:szCs w:val="27"/>
          <w:lang w:val="de-DE"/>
        </w:rPr>
        <w:t>3</w:t>
      </w:r>
      <w:r w:rsidR="00CB1E54" w:rsidRPr="00F558A8">
        <w:rPr>
          <w:sz w:val="27"/>
          <w:szCs w:val="27"/>
          <w:lang w:val="de-DE"/>
        </w:rPr>
        <w:t>7</w:t>
      </w:r>
      <w:r w:rsidRPr="00F558A8">
        <w:rPr>
          <w:sz w:val="27"/>
          <w:szCs w:val="27"/>
          <w:lang w:val="de-DE"/>
        </w:rPr>
        <w:t xml:space="preserve"> hs, tỉ lệ: 4.</w:t>
      </w:r>
      <w:r w:rsidR="00C1621C" w:rsidRPr="00F558A8">
        <w:rPr>
          <w:sz w:val="27"/>
          <w:szCs w:val="27"/>
          <w:lang w:val="de-DE"/>
        </w:rPr>
        <w:t>15</w:t>
      </w:r>
      <w:r w:rsidR="008837B6" w:rsidRPr="00F558A8">
        <w:rPr>
          <w:sz w:val="27"/>
          <w:szCs w:val="27"/>
          <w:lang w:val="de-DE"/>
        </w:rPr>
        <w:t>%)</w:t>
      </w:r>
    </w:p>
    <w:p w14:paraId="4071DC20" w14:textId="58A4FDCE" w:rsidR="008837B6" w:rsidRPr="00F558A8" w:rsidRDefault="00272B34" w:rsidP="009B3DE8">
      <w:pPr>
        <w:pStyle w:val="BodyText"/>
        <w:spacing w:after="0"/>
        <w:ind w:firstLine="709"/>
        <w:jc w:val="both"/>
        <w:rPr>
          <w:sz w:val="27"/>
          <w:szCs w:val="27"/>
          <w:lang w:val="de-DE"/>
        </w:rPr>
      </w:pPr>
      <w:r w:rsidRPr="00F558A8">
        <w:rPr>
          <w:sz w:val="27"/>
          <w:szCs w:val="27"/>
          <w:lang w:val="de-DE"/>
        </w:rPr>
        <w:t>Cấp THCS</w:t>
      </w:r>
    </w:p>
    <w:p w14:paraId="6B169343" w14:textId="78E8692A" w:rsidR="00272B34" w:rsidRPr="00F558A8" w:rsidRDefault="00272B34" w:rsidP="009B3DE8">
      <w:pPr>
        <w:pStyle w:val="BodyText"/>
        <w:spacing w:after="0"/>
        <w:ind w:firstLine="709"/>
        <w:jc w:val="both"/>
        <w:rPr>
          <w:sz w:val="27"/>
          <w:szCs w:val="27"/>
          <w:lang w:val="de-DE"/>
        </w:rPr>
      </w:pPr>
      <w:r w:rsidRPr="00F558A8">
        <w:rPr>
          <w:sz w:val="27"/>
          <w:szCs w:val="27"/>
          <w:lang w:val="de-DE"/>
        </w:rPr>
        <w:t>Tổng số học sinh:</w:t>
      </w:r>
      <w:r w:rsidRPr="00F558A8">
        <w:rPr>
          <w:sz w:val="27"/>
          <w:szCs w:val="27"/>
          <w:lang w:val="de-DE"/>
        </w:rPr>
        <w:tab/>
        <w:t>6</w:t>
      </w:r>
      <w:r w:rsidR="0057056A" w:rsidRPr="00F558A8">
        <w:rPr>
          <w:sz w:val="27"/>
          <w:szCs w:val="27"/>
          <w:lang w:val="de-DE"/>
        </w:rPr>
        <w:t>6</w:t>
      </w:r>
      <w:r w:rsidRPr="00F558A8">
        <w:rPr>
          <w:sz w:val="27"/>
          <w:szCs w:val="27"/>
          <w:lang w:val="de-DE"/>
        </w:rPr>
        <w:t>.</w:t>
      </w:r>
      <w:r w:rsidR="00C1621C" w:rsidRPr="00F558A8">
        <w:rPr>
          <w:sz w:val="27"/>
          <w:szCs w:val="27"/>
          <w:lang w:val="de-DE"/>
        </w:rPr>
        <w:t>297</w:t>
      </w:r>
      <w:r w:rsidRPr="00F558A8">
        <w:rPr>
          <w:sz w:val="27"/>
          <w:szCs w:val="27"/>
          <w:lang w:val="de-DE"/>
        </w:rPr>
        <w:t xml:space="preserve"> hs</w:t>
      </w:r>
      <w:r w:rsidR="008837B6" w:rsidRPr="00F558A8">
        <w:rPr>
          <w:sz w:val="27"/>
          <w:szCs w:val="27"/>
          <w:lang w:val="de-DE"/>
        </w:rPr>
        <w:t>, s</w:t>
      </w:r>
      <w:r w:rsidRPr="00F558A8">
        <w:rPr>
          <w:sz w:val="27"/>
          <w:szCs w:val="27"/>
          <w:lang w:val="de-DE"/>
        </w:rPr>
        <w:t>ố học sinh công lập:</w:t>
      </w:r>
      <w:r w:rsidR="008837B6" w:rsidRPr="00F558A8">
        <w:rPr>
          <w:sz w:val="27"/>
          <w:szCs w:val="27"/>
          <w:lang w:val="de-DE"/>
        </w:rPr>
        <w:t xml:space="preserve"> </w:t>
      </w:r>
      <w:r w:rsidRPr="00F558A8">
        <w:rPr>
          <w:sz w:val="27"/>
          <w:szCs w:val="27"/>
          <w:lang w:val="de-DE"/>
        </w:rPr>
        <w:t>6</w:t>
      </w:r>
      <w:r w:rsidR="0057056A" w:rsidRPr="00F558A8">
        <w:rPr>
          <w:sz w:val="27"/>
          <w:szCs w:val="27"/>
          <w:lang w:val="de-DE"/>
        </w:rPr>
        <w:t>6</w:t>
      </w:r>
      <w:r w:rsidRPr="00F558A8">
        <w:rPr>
          <w:sz w:val="27"/>
          <w:szCs w:val="27"/>
          <w:lang w:val="de-DE"/>
        </w:rPr>
        <w:t>.</w:t>
      </w:r>
      <w:r w:rsidR="00C1621C" w:rsidRPr="00F558A8">
        <w:rPr>
          <w:sz w:val="27"/>
          <w:szCs w:val="27"/>
          <w:lang w:val="de-DE"/>
        </w:rPr>
        <w:t>274</w:t>
      </w:r>
      <w:r w:rsidRPr="00F558A8">
        <w:rPr>
          <w:sz w:val="27"/>
          <w:szCs w:val="27"/>
          <w:lang w:val="de-DE"/>
        </w:rPr>
        <w:t xml:space="preserve"> hs</w:t>
      </w:r>
      <w:r w:rsidR="008837B6" w:rsidRPr="00F558A8">
        <w:rPr>
          <w:sz w:val="27"/>
          <w:szCs w:val="27"/>
          <w:lang w:val="de-DE"/>
        </w:rPr>
        <w:t>, s</w:t>
      </w:r>
      <w:r w:rsidRPr="00F558A8">
        <w:rPr>
          <w:sz w:val="27"/>
          <w:szCs w:val="27"/>
          <w:lang w:val="de-DE"/>
        </w:rPr>
        <w:t xml:space="preserve">ố học sinh ngoài công lập: </w:t>
      </w:r>
      <w:r w:rsidR="00CB1E54" w:rsidRPr="00F558A8">
        <w:rPr>
          <w:sz w:val="27"/>
          <w:szCs w:val="27"/>
          <w:lang w:val="de-DE"/>
        </w:rPr>
        <w:t>2</w:t>
      </w:r>
      <w:r w:rsidR="00C1621C" w:rsidRPr="00F558A8">
        <w:rPr>
          <w:sz w:val="27"/>
          <w:szCs w:val="27"/>
          <w:lang w:val="de-DE"/>
        </w:rPr>
        <w:t>3</w:t>
      </w:r>
      <w:r w:rsidRPr="00F558A8">
        <w:rPr>
          <w:sz w:val="27"/>
          <w:szCs w:val="27"/>
          <w:lang w:val="de-DE"/>
        </w:rPr>
        <w:t xml:space="preserve"> hs</w:t>
      </w:r>
      <w:r w:rsidR="008837B6" w:rsidRPr="00F558A8">
        <w:rPr>
          <w:sz w:val="27"/>
          <w:szCs w:val="27"/>
          <w:lang w:val="de-DE"/>
        </w:rPr>
        <w:t>, (t</w:t>
      </w:r>
      <w:r w:rsidRPr="00F558A8">
        <w:rPr>
          <w:sz w:val="27"/>
          <w:szCs w:val="27"/>
          <w:lang w:val="de-DE"/>
        </w:rPr>
        <w:t>rong đó: nữ:</w:t>
      </w:r>
      <w:r w:rsidR="008837B6" w:rsidRPr="00F558A8">
        <w:rPr>
          <w:sz w:val="27"/>
          <w:szCs w:val="27"/>
          <w:lang w:val="de-DE"/>
        </w:rPr>
        <w:t xml:space="preserve"> </w:t>
      </w:r>
      <w:r w:rsidRPr="00F558A8">
        <w:rPr>
          <w:sz w:val="27"/>
          <w:szCs w:val="27"/>
          <w:lang w:val="de-DE"/>
        </w:rPr>
        <w:t>3</w:t>
      </w:r>
      <w:r w:rsidR="00C1621C" w:rsidRPr="00F558A8">
        <w:rPr>
          <w:sz w:val="27"/>
          <w:szCs w:val="27"/>
          <w:lang w:val="de-DE"/>
        </w:rPr>
        <w:t>2</w:t>
      </w:r>
      <w:r w:rsidRPr="00F558A8">
        <w:rPr>
          <w:sz w:val="27"/>
          <w:szCs w:val="27"/>
          <w:lang w:val="de-DE"/>
        </w:rPr>
        <w:t>.</w:t>
      </w:r>
      <w:r w:rsidR="00C1621C" w:rsidRPr="00F558A8">
        <w:rPr>
          <w:sz w:val="27"/>
          <w:szCs w:val="27"/>
          <w:lang w:val="de-DE"/>
        </w:rPr>
        <w:t>65</w:t>
      </w:r>
      <w:r w:rsidR="00CB1E54" w:rsidRPr="00F558A8">
        <w:rPr>
          <w:sz w:val="27"/>
          <w:szCs w:val="27"/>
          <w:lang w:val="de-DE"/>
        </w:rPr>
        <w:t>5</w:t>
      </w:r>
      <w:r w:rsidRPr="00F558A8">
        <w:rPr>
          <w:sz w:val="27"/>
          <w:szCs w:val="27"/>
          <w:lang w:val="de-DE"/>
        </w:rPr>
        <w:t xml:space="preserve"> hs, tỉ lệ:  49.</w:t>
      </w:r>
      <w:r w:rsidR="00C1621C" w:rsidRPr="00F558A8">
        <w:rPr>
          <w:sz w:val="27"/>
          <w:szCs w:val="27"/>
          <w:lang w:val="de-DE"/>
        </w:rPr>
        <w:t>80</w:t>
      </w:r>
      <w:r w:rsidRPr="00F558A8">
        <w:rPr>
          <w:sz w:val="27"/>
          <w:szCs w:val="27"/>
          <w:lang w:val="de-DE"/>
        </w:rPr>
        <w:t>%;</w:t>
      </w:r>
      <w:r w:rsidR="008837B6" w:rsidRPr="00F558A8">
        <w:rPr>
          <w:sz w:val="27"/>
          <w:szCs w:val="27"/>
          <w:lang w:val="de-DE"/>
        </w:rPr>
        <w:t xml:space="preserve"> s</w:t>
      </w:r>
      <w:r w:rsidRPr="00F558A8">
        <w:rPr>
          <w:sz w:val="27"/>
          <w:szCs w:val="27"/>
          <w:lang w:val="de-DE"/>
        </w:rPr>
        <w:t>ố học sinh dân tộc thiểu số: 3.</w:t>
      </w:r>
      <w:r w:rsidR="00C1621C" w:rsidRPr="00F558A8">
        <w:rPr>
          <w:sz w:val="27"/>
          <w:szCs w:val="27"/>
          <w:lang w:val="de-DE"/>
        </w:rPr>
        <w:t>248</w:t>
      </w:r>
      <w:r w:rsidRPr="00F558A8">
        <w:rPr>
          <w:sz w:val="27"/>
          <w:szCs w:val="27"/>
          <w:lang w:val="de-DE"/>
        </w:rPr>
        <w:t xml:space="preserve"> hs, tỉ lệ: </w:t>
      </w:r>
      <w:r w:rsidR="0057056A" w:rsidRPr="00F558A8">
        <w:rPr>
          <w:sz w:val="27"/>
          <w:szCs w:val="27"/>
          <w:lang w:val="de-DE"/>
        </w:rPr>
        <w:t>4</w:t>
      </w:r>
      <w:r w:rsidRPr="00F558A8">
        <w:rPr>
          <w:sz w:val="27"/>
          <w:szCs w:val="27"/>
          <w:lang w:val="de-DE"/>
        </w:rPr>
        <w:t>.</w:t>
      </w:r>
      <w:r w:rsidR="00B056BE" w:rsidRPr="00F558A8">
        <w:rPr>
          <w:sz w:val="27"/>
          <w:szCs w:val="27"/>
          <w:lang w:val="de-DE"/>
        </w:rPr>
        <w:t>9</w:t>
      </w:r>
      <w:r w:rsidR="00C1621C" w:rsidRPr="00F558A8">
        <w:rPr>
          <w:sz w:val="27"/>
          <w:szCs w:val="27"/>
          <w:lang w:val="de-DE"/>
        </w:rPr>
        <w:t>0</w:t>
      </w:r>
      <w:r w:rsidR="008837B6" w:rsidRPr="00F558A8">
        <w:rPr>
          <w:sz w:val="27"/>
          <w:szCs w:val="27"/>
          <w:lang w:val="de-DE"/>
        </w:rPr>
        <w:t>%)</w:t>
      </w:r>
    </w:p>
    <w:p w14:paraId="564E7771" w14:textId="77777777" w:rsidR="00007A5B" w:rsidRPr="00F558A8" w:rsidRDefault="00A471A4" w:rsidP="00C80205">
      <w:pPr>
        <w:pStyle w:val="BodyText2"/>
        <w:spacing w:before="120"/>
        <w:ind w:firstLine="709"/>
        <w:rPr>
          <w:rFonts w:ascii="Times New Roman" w:hAnsi="Times New Roman"/>
          <w:sz w:val="27"/>
          <w:szCs w:val="27"/>
          <w:lang w:val="vi-VN"/>
        </w:rPr>
      </w:pPr>
      <w:r w:rsidRPr="00F558A8">
        <w:rPr>
          <w:rFonts w:ascii="Times New Roman" w:hAnsi="Times New Roman"/>
          <w:b/>
          <w:sz w:val="27"/>
          <w:szCs w:val="27"/>
          <w:lang w:val="de-DE"/>
        </w:rPr>
        <w:t>7</w:t>
      </w:r>
      <w:r w:rsidR="00740956" w:rsidRPr="00F558A8">
        <w:rPr>
          <w:rFonts w:ascii="Times New Roman" w:hAnsi="Times New Roman"/>
          <w:b/>
          <w:sz w:val="27"/>
          <w:szCs w:val="27"/>
          <w:lang w:val="de-DE"/>
        </w:rPr>
        <w:t xml:space="preserve">. </w:t>
      </w:r>
      <w:r w:rsidR="00007A5B" w:rsidRPr="00F558A8">
        <w:rPr>
          <w:rFonts w:ascii="Times New Roman" w:hAnsi="Times New Roman"/>
          <w:b/>
          <w:color w:val="000000"/>
          <w:spacing w:val="-6"/>
          <w:sz w:val="27"/>
          <w:szCs w:val="27"/>
          <w:lang w:val="pt-BR"/>
        </w:rPr>
        <w:t>Xây dựng trường đạt chuẩn quốc gia</w:t>
      </w:r>
    </w:p>
    <w:p w14:paraId="3B910967" w14:textId="0995E3BD" w:rsidR="00C1621C" w:rsidRPr="00F558A8" w:rsidRDefault="00C1621C" w:rsidP="002E7028">
      <w:pPr>
        <w:pStyle w:val="BodyText2"/>
        <w:ind w:firstLine="709"/>
        <w:rPr>
          <w:rFonts w:ascii="Times New Roman" w:hAnsi="Times New Roman"/>
          <w:color w:val="000000"/>
          <w:sz w:val="27"/>
          <w:szCs w:val="27"/>
        </w:rPr>
      </w:pPr>
      <w:r w:rsidRPr="00F558A8">
        <w:rPr>
          <w:rFonts w:ascii="Times New Roman" w:hAnsi="Times New Roman"/>
          <w:sz w:val="27"/>
          <w:szCs w:val="27"/>
          <w:lang w:val="vi-VN"/>
        </w:rPr>
        <w:t xml:space="preserve">Sở GDĐT </w:t>
      </w:r>
      <w:r w:rsidRPr="00F558A8">
        <w:rPr>
          <w:rFonts w:ascii="Times New Roman" w:hAnsi="Times New Roman"/>
          <w:sz w:val="27"/>
          <w:szCs w:val="27"/>
        </w:rPr>
        <w:t xml:space="preserve">tiếp tục </w:t>
      </w:r>
      <w:r w:rsidRPr="00F558A8">
        <w:rPr>
          <w:rFonts w:ascii="Times New Roman" w:hAnsi="Times New Roman"/>
          <w:sz w:val="27"/>
          <w:szCs w:val="27"/>
          <w:lang w:val="vi-VN"/>
        </w:rPr>
        <w:t xml:space="preserve">tham mưu UBND tỉnh </w:t>
      </w:r>
      <w:r w:rsidRPr="00F558A8">
        <w:rPr>
          <w:rFonts w:ascii="Times New Roman" w:hAnsi="Times New Roman"/>
          <w:sz w:val="27"/>
          <w:szCs w:val="27"/>
        </w:rPr>
        <w:t xml:space="preserve">thực hiện </w:t>
      </w:r>
      <w:r w:rsidRPr="00F558A8">
        <w:rPr>
          <w:rFonts w:ascii="Times New Roman" w:hAnsi="Times New Roman"/>
          <w:color w:val="000000"/>
          <w:sz w:val="27"/>
          <w:szCs w:val="27"/>
        </w:rPr>
        <w:t>Kế hoạch số 142/KH-UBND ngày 19/9/2016 về xây dựng trường đạt chuẩn quốc gia</w:t>
      </w:r>
      <w:r w:rsidRPr="00F558A8">
        <w:rPr>
          <w:rFonts w:ascii="Times New Roman" w:hAnsi="Times New Roman"/>
          <w:sz w:val="27"/>
          <w:szCs w:val="27"/>
          <w:lang w:val="vi-VN"/>
        </w:rPr>
        <w:t xml:space="preserve"> </w:t>
      </w:r>
      <w:r w:rsidRPr="00F558A8">
        <w:rPr>
          <w:rFonts w:ascii="Times New Roman" w:hAnsi="Times New Roman"/>
          <w:sz w:val="27"/>
          <w:szCs w:val="27"/>
        </w:rPr>
        <w:t xml:space="preserve">giai đoạn 2016-2020 </w:t>
      </w:r>
      <w:r w:rsidRPr="00F558A8">
        <w:rPr>
          <w:rFonts w:ascii="Times New Roman" w:hAnsi="Times New Roman"/>
          <w:sz w:val="27"/>
          <w:szCs w:val="27"/>
          <w:lang w:val="vi-VN"/>
        </w:rPr>
        <w:t>và phối hợp với UBND các huyện, thị xã, thành phố</w:t>
      </w:r>
      <w:r w:rsidRPr="00F558A8">
        <w:rPr>
          <w:rFonts w:ascii="Times New Roman" w:hAnsi="Times New Roman"/>
          <w:sz w:val="27"/>
          <w:szCs w:val="27"/>
        </w:rPr>
        <w:t xml:space="preserve"> </w:t>
      </w:r>
      <w:r w:rsidRPr="00F558A8">
        <w:rPr>
          <w:rFonts w:ascii="Times New Roman" w:hAnsi="Times New Roman"/>
          <w:color w:val="000000"/>
          <w:sz w:val="27"/>
          <w:szCs w:val="27"/>
        </w:rPr>
        <w:t>tiếp tục đầu tư nguồn lực, chỉ đạo xây dựng kế hoạch, lộ trình thực hiện công tác xây dựng trường chuẩn quốc gia giai đoạn 2016-2020 gắn với chương trình mục tiêu quốc gia về xây dựng nông thôn mới. Rà soát việc xây dựng trường học đạt chuẩn quốc gia, tiếp tục kiểm tra để công nhận lại hoặc không công nhận các đơn vị đã hết thời hạn.</w:t>
      </w:r>
    </w:p>
    <w:p w14:paraId="330C55F0" w14:textId="62C54305" w:rsidR="00C1621C" w:rsidRPr="00F558A8" w:rsidRDefault="00C1621C" w:rsidP="00C80205">
      <w:pPr>
        <w:ind w:firstLine="720"/>
        <w:jc w:val="both"/>
        <w:rPr>
          <w:sz w:val="27"/>
          <w:szCs w:val="27"/>
        </w:rPr>
      </w:pPr>
      <w:r w:rsidRPr="00F558A8">
        <w:rPr>
          <w:sz w:val="27"/>
          <w:szCs w:val="27"/>
        </w:rPr>
        <w:t xml:space="preserve">Trong năm học 2019-2020 Sở đã tổ chức kiểm tra và công nhận 8 trường THCS </w:t>
      </w:r>
      <w:r w:rsidR="00007A5B" w:rsidRPr="00F558A8">
        <w:rPr>
          <w:sz w:val="27"/>
          <w:szCs w:val="27"/>
        </w:rPr>
        <w:t xml:space="preserve">đạt chuẩn quốc gia (trong đó có 2 trường công nhận lại) </w:t>
      </w:r>
      <w:r w:rsidRPr="00F558A8">
        <w:rPr>
          <w:sz w:val="27"/>
          <w:szCs w:val="27"/>
        </w:rPr>
        <w:t xml:space="preserve">và 1 trường THPT đạt chuẩn quốc gia </w:t>
      </w:r>
      <w:r w:rsidR="00007A5B" w:rsidRPr="00F558A8">
        <w:rPr>
          <w:sz w:val="27"/>
          <w:szCs w:val="27"/>
        </w:rPr>
        <w:t xml:space="preserve">(công nhận lại) </w:t>
      </w:r>
      <w:r w:rsidRPr="00F558A8">
        <w:rPr>
          <w:sz w:val="27"/>
          <w:szCs w:val="27"/>
        </w:rPr>
        <w:t>thực hiện theo Thông tư 18/2018/TT-BGDĐT ngày 22/8/2018 của Bộ trưởng Bộ GDĐT.</w:t>
      </w:r>
    </w:p>
    <w:p w14:paraId="3048F67D" w14:textId="77777777" w:rsidR="00272B34" w:rsidRPr="00F558A8" w:rsidRDefault="00A471A4" w:rsidP="00C80205">
      <w:pPr>
        <w:pStyle w:val="BodyText2"/>
        <w:spacing w:before="120"/>
        <w:ind w:firstLine="709"/>
        <w:rPr>
          <w:rFonts w:ascii="Times New Roman" w:hAnsi="Times New Roman"/>
          <w:b/>
          <w:sz w:val="27"/>
          <w:szCs w:val="27"/>
          <w:lang w:val="de-DE"/>
        </w:rPr>
      </w:pPr>
      <w:r w:rsidRPr="00F558A8">
        <w:rPr>
          <w:rFonts w:ascii="Times New Roman" w:hAnsi="Times New Roman"/>
          <w:b/>
          <w:sz w:val="27"/>
          <w:szCs w:val="27"/>
          <w:lang w:val="de-DE"/>
        </w:rPr>
        <w:t>8</w:t>
      </w:r>
      <w:r w:rsidR="00272B34" w:rsidRPr="00F558A8">
        <w:rPr>
          <w:rFonts w:ascii="Times New Roman" w:hAnsi="Times New Roman"/>
          <w:b/>
          <w:sz w:val="27"/>
          <w:szCs w:val="27"/>
          <w:lang w:val="de-DE"/>
        </w:rPr>
        <w:t xml:space="preserve">. Công tác phổ cập giáo dục, dạy học 2 buổi/ngày. </w:t>
      </w:r>
    </w:p>
    <w:p w14:paraId="7A24EA54" w14:textId="77777777" w:rsidR="00272B34" w:rsidRPr="00F558A8" w:rsidRDefault="00A471A4" w:rsidP="009B3DE8">
      <w:pPr>
        <w:ind w:firstLine="709"/>
        <w:jc w:val="both"/>
        <w:rPr>
          <w:sz w:val="27"/>
          <w:szCs w:val="27"/>
        </w:rPr>
      </w:pPr>
      <w:r w:rsidRPr="00F558A8">
        <w:rPr>
          <w:b/>
          <w:sz w:val="27"/>
          <w:szCs w:val="27"/>
          <w:lang w:val="de-DE"/>
        </w:rPr>
        <w:t>8</w:t>
      </w:r>
      <w:r w:rsidR="005B4B31" w:rsidRPr="00F558A8">
        <w:rPr>
          <w:b/>
          <w:sz w:val="27"/>
          <w:szCs w:val="27"/>
          <w:lang w:val="de-DE"/>
        </w:rPr>
        <w:t xml:space="preserve">.1. </w:t>
      </w:r>
      <w:r w:rsidR="00272B34" w:rsidRPr="00F558A8">
        <w:rPr>
          <w:b/>
          <w:sz w:val="27"/>
          <w:szCs w:val="27"/>
          <w:lang w:val="de-DE"/>
        </w:rPr>
        <w:t>Công tác phổ cập giáo dục</w:t>
      </w:r>
      <w:r w:rsidR="00272B34" w:rsidRPr="00F558A8">
        <w:rPr>
          <w:sz w:val="27"/>
          <w:szCs w:val="27"/>
        </w:rPr>
        <w:t xml:space="preserve"> </w:t>
      </w:r>
    </w:p>
    <w:p w14:paraId="42839944" w14:textId="77777777" w:rsidR="001B408C" w:rsidRPr="00F558A8" w:rsidRDefault="001B408C" w:rsidP="009B3DE8">
      <w:pPr>
        <w:ind w:firstLine="709"/>
        <w:jc w:val="both"/>
        <w:rPr>
          <w:color w:val="000000"/>
          <w:sz w:val="27"/>
          <w:szCs w:val="27"/>
        </w:rPr>
      </w:pPr>
      <w:r w:rsidRPr="00F558A8">
        <w:rPr>
          <w:color w:val="000000"/>
          <w:sz w:val="27"/>
          <w:szCs w:val="27"/>
        </w:rPr>
        <w:t>Tỷ lệ phổ cập ở các cấp học, bậc học đã được duy trì và nâng cao chất lượng.</w:t>
      </w:r>
    </w:p>
    <w:p w14:paraId="4D9BAD8E" w14:textId="77777777" w:rsidR="001B408C" w:rsidRPr="00F558A8" w:rsidRDefault="001B408C" w:rsidP="009B3DE8">
      <w:pPr>
        <w:ind w:firstLine="709"/>
        <w:jc w:val="both"/>
        <w:rPr>
          <w:color w:val="000000"/>
          <w:sz w:val="27"/>
          <w:szCs w:val="27"/>
        </w:rPr>
      </w:pPr>
      <w:r w:rsidRPr="00F558A8">
        <w:rPr>
          <w:color w:val="000000"/>
          <w:sz w:val="27"/>
          <w:szCs w:val="27"/>
        </w:rPr>
        <w:t>Kết quả phổ cập giáo dục (PCGD):</w:t>
      </w:r>
    </w:p>
    <w:p w14:paraId="685DF0FB" w14:textId="77777777" w:rsidR="001B408C" w:rsidRPr="00F558A8" w:rsidRDefault="001B408C" w:rsidP="009B3DE8">
      <w:pPr>
        <w:ind w:firstLine="709"/>
        <w:jc w:val="both"/>
        <w:rPr>
          <w:color w:val="000000"/>
          <w:sz w:val="27"/>
          <w:szCs w:val="27"/>
        </w:rPr>
      </w:pPr>
      <w:r w:rsidRPr="00F558A8">
        <w:rPr>
          <w:color w:val="000000"/>
          <w:sz w:val="27"/>
          <w:szCs w:val="27"/>
        </w:rPr>
        <w:t>- PCGD THCS mức độ II;</w:t>
      </w:r>
    </w:p>
    <w:p w14:paraId="753E9F4F" w14:textId="27528275" w:rsidR="004E6E67" w:rsidRPr="00F558A8" w:rsidRDefault="001B408C" w:rsidP="009B3DE8">
      <w:pPr>
        <w:ind w:firstLine="709"/>
        <w:jc w:val="both"/>
        <w:rPr>
          <w:sz w:val="27"/>
          <w:szCs w:val="27"/>
        </w:rPr>
      </w:pPr>
      <w:r w:rsidRPr="00F558A8">
        <w:rPr>
          <w:color w:val="000000"/>
          <w:sz w:val="27"/>
          <w:szCs w:val="27"/>
        </w:rPr>
        <w:t>- Có 69/152 (năm trước 39/152) phường xã đạt chuẩn PCGD THCS mức độ 3;</w:t>
      </w:r>
      <w:r w:rsidR="004E6E67" w:rsidRPr="00F558A8">
        <w:rPr>
          <w:sz w:val="27"/>
          <w:szCs w:val="27"/>
        </w:rPr>
        <w:t xml:space="preserve"> có </w:t>
      </w:r>
      <w:r w:rsidRPr="00F558A8">
        <w:rPr>
          <w:sz w:val="27"/>
          <w:szCs w:val="27"/>
        </w:rPr>
        <w:t>48.518</w:t>
      </w:r>
      <w:r w:rsidR="004E6E67" w:rsidRPr="00F558A8">
        <w:rPr>
          <w:sz w:val="27"/>
          <w:szCs w:val="27"/>
        </w:rPr>
        <w:t xml:space="preserve"> (năm tước </w:t>
      </w:r>
      <w:r w:rsidRPr="00F558A8">
        <w:rPr>
          <w:sz w:val="27"/>
          <w:szCs w:val="27"/>
        </w:rPr>
        <w:t>46.762</w:t>
      </w:r>
      <w:r w:rsidR="004E6E67" w:rsidRPr="00F558A8">
        <w:rPr>
          <w:sz w:val="27"/>
          <w:szCs w:val="27"/>
        </w:rPr>
        <w:t xml:space="preserve">) dân số trong độ tuổi 18-24 tốt nghiệp THPT hoặc tương đương, tỉ lệ </w:t>
      </w:r>
      <w:r w:rsidRPr="00F558A8">
        <w:rPr>
          <w:sz w:val="27"/>
          <w:szCs w:val="27"/>
        </w:rPr>
        <w:t xml:space="preserve">74,77% </w:t>
      </w:r>
      <w:r w:rsidR="004E6E67" w:rsidRPr="00F558A8">
        <w:rPr>
          <w:sz w:val="27"/>
          <w:szCs w:val="27"/>
        </w:rPr>
        <w:t xml:space="preserve">(năm trước </w:t>
      </w:r>
      <w:r w:rsidRPr="00F558A8">
        <w:rPr>
          <w:sz w:val="27"/>
          <w:szCs w:val="27"/>
        </w:rPr>
        <w:t>70,45%</w:t>
      </w:r>
      <w:r w:rsidR="004E6E67" w:rsidRPr="00F558A8">
        <w:rPr>
          <w:sz w:val="27"/>
          <w:szCs w:val="27"/>
        </w:rPr>
        <w:t>).</w:t>
      </w:r>
    </w:p>
    <w:p w14:paraId="7E729135" w14:textId="77777777" w:rsidR="004E6E67" w:rsidRPr="00F558A8" w:rsidRDefault="004E6E67" w:rsidP="00C80205">
      <w:pPr>
        <w:spacing w:before="60"/>
        <w:ind w:firstLine="709"/>
        <w:jc w:val="both"/>
        <w:rPr>
          <w:sz w:val="27"/>
          <w:szCs w:val="27"/>
        </w:rPr>
      </w:pPr>
      <w:r w:rsidRPr="00F558A8">
        <w:rPr>
          <w:sz w:val="27"/>
          <w:szCs w:val="27"/>
        </w:rPr>
        <w:lastRenderedPageBreak/>
        <w:t>Nâng cao chất lượng dạy học và hiệu quả đào tạo: thực hiện nghiêm túc chương trình dạy học, chú trọng các biện pháp ở các vùng khó, vùng dân tộc thiểu số để giảm thiểu số học sinh lưu ban, bỏ học.</w:t>
      </w:r>
    </w:p>
    <w:p w14:paraId="0C3993AC" w14:textId="77777777" w:rsidR="004E6E67" w:rsidRPr="00F558A8" w:rsidRDefault="004E6E67" w:rsidP="00C80205">
      <w:pPr>
        <w:spacing w:before="60"/>
        <w:ind w:firstLine="709"/>
        <w:jc w:val="both"/>
        <w:rPr>
          <w:sz w:val="27"/>
          <w:szCs w:val="27"/>
        </w:rPr>
      </w:pPr>
      <w:r w:rsidRPr="00F558A8">
        <w:rPr>
          <w:sz w:val="27"/>
          <w:szCs w:val="27"/>
        </w:rPr>
        <w:t>Tăng cường CSVC và thu hút hầu hết học sinh tốt nghiệp THCS vào các trường THPT, TT GDNN-GDTX hoặc vào các trường CĐ nghề và TC chuyên nghiệp.</w:t>
      </w:r>
    </w:p>
    <w:p w14:paraId="17E2D2E0" w14:textId="77777777" w:rsidR="00272B34" w:rsidRPr="00F558A8" w:rsidRDefault="00A471A4" w:rsidP="00C80205">
      <w:pPr>
        <w:ind w:firstLine="709"/>
        <w:jc w:val="both"/>
        <w:rPr>
          <w:b/>
          <w:sz w:val="27"/>
          <w:szCs w:val="27"/>
          <w:lang w:val="de-DE"/>
        </w:rPr>
      </w:pPr>
      <w:r w:rsidRPr="00F558A8">
        <w:rPr>
          <w:b/>
          <w:sz w:val="27"/>
          <w:szCs w:val="27"/>
          <w:lang w:val="de-DE"/>
        </w:rPr>
        <w:t>8</w:t>
      </w:r>
      <w:r w:rsidR="005B4B31" w:rsidRPr="00F558A8">
        <w:rPr>
          <w:b/>
          <w:sz w:val="27"/>
          <w:szCs w:val="27"/>
          <w:lang w:val="de-DE"/>
        </w:rPr>
        <w:t xml:space="preserve">.2. </w:t>
      </w:r>
      <w:r w:rsidR="00272B34" w:rsidRPr="00F558A8">
        <w:rPr>
          <w:b/>
          <w:sz w:val="27"/>
          <w:szCs w:val="27"/>
          <w:lang w:val="de-DE"/>
        </w:rPr>
        <w:t>Dạy học 2 buổi/ngày</w:t>
      </w:r>
    </w:p>
    <w:p w14:paraId="5EECF000" w14:textId="77777777" w:rsidR="001B408C" w:rsidRPr="00F558A8" w:rsidRDefault="001B408C" w:rsidP="00C80205">
      <w:pPr>
        <w:ind w:firstLine="709"/>
        <w:jc w:val="both"/>
        <w:rPr>
          <w:sz w:val="27"/>
          <w:szCs w:val="27"/>
          <w:lang w:val="es-BO"/>
        </w:rPr>
      </w:pPr>
      <w:r w:rsidRPr="00F558A8">
        <w:rPr>
          <w:sz w:val="27"/>
          <w:szCs w:val="27"/>
        </w:rPr>
        <w:t xml:space="preserve">Sở GDĐT tiếp tục chỉ đạo các trường trung học có đủ điều kiện về giáo viên, cơ sở vật chất, bố trí và huy động được các điều kiện tổ chức dạy học 2 buổi/ngày theo tinh thần Công văn số 7291/BGDĐT-GDTrH ngày 01/11/2010 của Bộ. </w:t>
      </w:r>
    </w:p>
    <w:p w14:paraId="42C022B7" w14:textId="77777777" w:rsidR="001B408C" w:rsidRPr="00F558A8" w:rsidRDefault="001B408C" w:rsidP="00C80205">
      <w:pPr>
        <w:ind w:firstLine="709"/>
        <w:jc w:val="both"/>
        <w:rPr>
          <w:sz w:val="27"/>
          <w:szCs w:val="27"/>
        </w:rPr>
      </w:pPr>
      <w:r w:rsidRPr="00F558A8">
        <w:rPr>
          <w:sz w:val="27"/>
          <w:szCs w:val="27"/>
        </w:rPr>
        <w:t>Chỉ đạo các trường phổ thông dân tộc nội trú, bán trú và trường nội trú tổ chức dạy học 2 buổi/ngày triệt để hơn, ngoài các nội dung dạy học đã nêu trên cần tập trung vào việc tăng cường dạy Tiếng Việt cho học sinh dân tộc thiểu số, kỹ năng sống... cho học sinh.</w:t>
      </w:r>
    </w:p>
    <w:p w14:paraId="139A5563" w14:textId="7C5E07E1" w:rsidR="001B408C" w:rsidRPr="00F558A8" w:rsidRDefault="001B408C" w:rsidP="00C80205">
      <w:pPr>
        <w:ind w:firstLine="709"/>
        <w:jc w:val="both"/>
        <w:rPr>
          <w:sz w:val="27"/>
          <w:szCs w:val="27"/>
          <w:lang w:val="es-BO"/>
        </w:rPr>
      </w:pPr>
      <w:r w:rsidRPr="00F558A8">
        <w:rPr>
          <w:sz w:val="27"/>
          <w:szCs w:val="27"/>
          <w:lang w:val="es-BO"/>
        </w:rPr>
        <w:t xml:space="preserve">Số lượng và chất lượng học sinh học 2 buổi/ngày tăng. </w:t>
      </w:r>
      <w:r w:rsidRPr="00F558A8">
        <w:rPr>
          <w:sz w:val="27"/>
          <w:szCs w:val="27"/>
        </w:rPr>
        <w:t>Tỉ lệ học sinh học 2 buổi/ngày ở cấp THCS là 30,2%, tăng 1,1% so với năm học trước.</w:t>
      </w:r>
    </w:p>
    <w:p w14:paraId="1412EA5D" w14:textId="77777777" w:rsidR="005B4B31" w:rsidRPr="00FA563E" w:rsidRDefault="0054594D" w:rsidP="00C80205">
      <w:pPr>
        <w:pStyle w:val="BodyText2"/>
        <w:spacing w:before="120"/>
        <w:ind w:firstLine="709"/>
        <w:rPr>
          <w:rFonts w:ascii="Times New Roman" w:hAnsi="Times New Roman"/>
          <w:b/>
          <w:sz w:val="27"/>
          <w:szCs w:val="27"/>
          <w:lang w:val="af-ZA"/>
        </w:rPr>
      </w:pPr>
      <w:r w:rsidRPr="00F558A8">
        <w:rPr>
          <w:rFonts w:ascii="Times New Roman" w:hAnsi="Times New Roman"/>
          <w:b/>
          <w:sz w:val="27"/>
          <w:szCs w:val="27"/>
          <w:lang w:val="af-ZA"/>
        </w:rPr>
        <w:tab/>
      </w:r>
      <w:r w:rsidR="00A471A4" w:rsidRPr="00F558A8">
        <w:rPr>
          <w:rFonts w:ascii="Times New Roman" w:hAnsi="Times New Roman"/>
          <w:b/>
          <w:sz w:val="27"/>
          <w:szCs w:val="27"/>
          <w:lang w:val="af-ZA"/>
        </w:rPr>
        <w:t>9</w:t>
      </w:r>
      <w:r w:rsidR="005B4B31" w:rsidRPr="00F558A8">
        <w:rPr>
          <w:rFonts w:ascii="Times New Roman" w:hAnsi="Times New Roman"/>
          <w:b/>
          <w:sz w:val="27"/>
          <w:szCs w:val="27"/>
          <w:lang w:val="af-ZA"/>
        </w:rPr>
        <w:t>. Kết quả giáo dục hai mặt chất lượng</w:t>
      </w:r>
    </w:p>
    <w:p w14:paraId="34B5A809" w14:textId="77777777" w:rsidR="0054594D" w:rsidRPr="00F558A8" w:rsidRDefault="0054594D" w:rsidP="001C20D0">
      <w:pPr>
        <w:pStyle w:val="ListParagraph"/>
        <w:spacing w:before="120" w:after="120"/>
        <w:ind w:left="0" w:firstLine="720"/>
        <w:jc w:val="left"/>
        <w:rPr>
          <w:b/>
          <w:sz w:val="27"/>
          <w:szCs w:val="27"/>
        </w:rPr>
      </w:pPr>
      <w:r w:rsidRPr="00F558A8">
        <w:rPr>
          <w:b/>
          <w:sz w:val="27"/>
          <w:szCs w:val="27"/>
        </w:rPr>
        <w:t>9.1. Cấp</w:t>
      </w:r>
      <w:r w:rsidRPr="00F558A8">
        <w:rPr>
          <w:b/>
          <w:spacing w:val="-4"/>
          <w:sz w:val="27"/>
          <w:szCs w:val="27"/>
        </w:rPr>
        <w:t xml:space="preserve"> </w:t>
      </w:r>
      <w:r w:rsidRPr="00F558A8">
        <w:rPr>
          <w:b/>
          <w:sz w:val="27"/>
          <w:szCs w:val="27"/>
        </w:rPr>
        <w:t xml:space="preserve">THCS </w:t>
      </w:r>
      <w:r w:rsidRPr="00F558A8">
        <w:rPr>
          <w:i/>
          <w:sz w:val="27"/>
          <w:szCs w:val="27"/>
        </w:rPr>
        <w:t>(có phụ lục kèm theo)</w:t>
      </w:r>
    </w:p>
    <w:tbl>
      <w:tblPr>
        <w:tblW w:w="9350" w:type="dxa"/>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411"/>
        <w:gridCol w:w="859"/>
        <w:gridCol w:w="872"/>
        <w:gridCol w:w="862"/>
        <w:gridCol w:w="809"/>
        <w:gridCol w:w="915"/>
        <w:gridCol w:w="883"/>
        <w:gridCol w:w="941"/>
        <w:gridCol w:w="806"/>
        <w:gridCol w:w="992"/>
      </w:tblGrid>
      <w:tr w:rsidR="0054594D" w:rsidRPr="00A50426" w14:paraId="453D500D" w14:textId="77777777" w:rsidTr="00C27A2C">
        <w:trPr>
          <w:trHeight w:hRule="exact" w:val="430"/>
        </w:trPr>
        <w:tc>
          <w:tcPr>
            <w:tcW w:w="1411" w:type="dxa"/>
            <w:vMerge w:val="restart"/>
            <w:vAlign w:val="center"/>
          </w:tcPr>
          <w:p w14:paraId="37FC283A" w14:textId="77777777" w:rsidR="0054594D" w:rsidRPr="00A50426" w:rsidRDefault="0054594D" w:rsidP="007052ED">
            <w:pPr>
              <w:pStyle w:val="TableParagraph"/>
              <w:ind w:left="227"/>
              <w:jc w:val="center"/>
              <w:rPr>
                <w:sz w:val="26"/>
                <w:szCs w:val="26"/>
              </w:rPr>
            </w:pPr>
            <w:r w:rsidRPr="00A50426">
              <w:rPr>
                <w:sz w:val="26"/>
                <w:szCs w:val="26"/>
              </w:rPr>
              <w:t>Năm học</w:t>
            </w:r>
          </w:p>
        </w:tc>
        <w:tc>
          <w:tcPr>
            <w:tcW w:w="3402" w:type="dxa"/>
            <w:gridSpan w:val="4"/>
            <w:vAlign w:val="center"/>
          </w:tcPr>
          <w:p w14:paraId="5FA0136F" w14:textId="77777777" w:rsidR="0054594D" w:rsidRPr="00A50426" w:rsidRDefault="0054594D" w:rsidP="007052ED">
            <w:pPr>
              <w:pStyle w:val="TableParagraph"/>
              <w:ind w:left="895"/>
              <w:jc w:val="center"/>
              <w:rPr>
                <w:sz w:val="26"/>
                <w:szCs w:val="26"/>
              </w:rPr>
            </w:pPr>
            <w:r w:rsidRPr="00A50426">
              <w:rPr>
                <w:sz w:val="26"/>
                <w:szCs w:val="26"/>
              </w:rPr>
              <w:t>Hạnh kiểm (%)</w:t>
            </w:r>
          </w:p>
        </w:tc>
        <w:tc>
          <w:tcPr>
            <w:tcW w:w="4537" w:type="dxa"/>
            <w:gridSpan w:val="5"/>
            <w:vAlign w:val="center"/>
          </w:tcPr>
          <w:p w14:paraId="1B16656A" w14:textId="77777777" w:rsidR="0054594D" w:rsidRPr="00A50426" w:rsidRDefault="0054594D" w:rsidP="007052ED">
            <w:pPr>
              <w:pStyle w:val="TableParagraph"/>
              <w:ind w:left="1602" w:right="1603"/>
              <w:jc w:val="center"/>
              <w:rPr>
                <w:sz w:val="26"/>
                <w:szCs w:val="26"/>
              </w:rPr>
            </w:pPr>
            <w:r w:rsidRPr="00A50426">
              <w:rPr>
                <w:sz w:val="26"/>
                <w:szCs w:val="26"/>
              </w:rPr>
              <w:t>Học lực (%)</w:t>
            </w:r>
          </w:p>
        </w:tc>
      </w:tr>
      <w:tr w:rsidR="0054594D" w:rsidRPr="00A50426" w14:paraId="764840A9" w14:textId="77777777" w:rsidTr="0026523F">
        <w:trPr>
          <w:trHeight w:hRule="exact" w:val="430"/>
        </w:trPr>
        <w:tc>
          <w:tcPr>
            <w:tcW w:w="1411" w:type="dxa"/>
            <w:vMerge/>
          </w:tcPr>
          <w:p w14:paraId="5C34D392" w14:textId="77777777" w:rsidR="0054594D" w:rsidRPr="00A50426" w:rsidRDefault="0054594D" w:rsidP="007052ED">
            <w:pPr>
              <w:rPr>
                <w:sz w:val="26"/>
                <w:szCs w:val="26"/>
              </w:rPr>
            </w:pPr>
          </w:p>
        </w:tc>
        <w:tc>
          <w:tcPr>
            <w:tcW w:w="859" w:type="dxa"/>
          </w:tcPr>
          <w:p w14:paraId="71A56180" w14:textId="77777777" w:rsidR="0054594D" w:rsidRPr="00A50426" w:rsidRDefault="0054594D" w:rsidP="007052ED">
            <w:pPr>
              <w:pStyle w:val="TableParagraph"/>
              <w:ind w:left="112" w:right="112"/>
              <w:jc w:val="center"/>
              <w:rPr>
                <w:sz w:val="26"/>
                <w:szCs w:val="26"/>
              </w:rPr>
            </w:pPr>
            <w:r w:rsidRPr="00A50426">
              <w:rPr>
                <w:sz w:val="26"/>
                <w:szCs w:val="26"/>
              </w:rPr>
              <w:t>Tốt</w:t>
            </w:r>
          </w:p>
        </w:tc>
        <w:tc>
          <w:tcPr>
            <w:tcW w:w="872" w:type="dxa"/>
          </w:tcPr>
          <w:p w14:paraId="709A670E" w14:textId="77777777" w:rsidR="0054594D" w:rsidRPr="00A50426" w:rsidRDefault="0054594D" w:rsidP="007052ED">
            <w:pPr>
              <w:pStyle w:val="TableParagraph"/>
              <w:ind w:left="117" w:right="118"/>
              <w:jc w:val="center"/>
              <w:rPr>
                <w:sz w:val="26"/>
                <w:szCs w:val="26"/>
              </w:rPr>
            </w:pPr>
            <w:r w:rsidRPr="00A50426">
              <w:rPr>
                <w:sz w:val="26"/>
                <w:szCs w:val="26"/>
              </w:rPr>
              <w:t>Khá</w:t>
            </w:r>
          </w:p>
        </w:tc>
        <w:tc>
          <w:tcPr>
            <w:tcW w:w="862" w:type="dxa"/>
          </w:tcPr>
          <w:p w14:paraId="6E707227" w14:textId="77777777" w:rsidR="0054594D" w:rsidRPr="00A50426" w:rsidRDefault="0054594D" w:rsidP="007052ED">
            <w:pPr>
              <w:pStyle w:val="TableParagraph"/>
              <w:ind w:left="175" w:right="180"/>
              <w:jc w:val="center"/>
              <w:rPr>
                <w:sz w:val="26"/>
                <w:szCs w:val="26"/>
              </w:rPr>
            </w:pPr>
            <w:r w:rsidRPr="00A50426">
              <w:rPr>
                <w:sz w:val="26"/>
                <w:szCs w:val="26"/>
              </w:rPr>
              <w:t>TB</w:t>
            </w:r>
          </w:p>
        </w:tc>
        <w:tc>
          <w:tcPr>
            <w:tcW w:w="809" w:type="dxa"/>
          </w:tcPr>
          <w:p w14:paraId="6AD83BED" w14:textId="77777777" w:rsidR="0054594D" w:rsidRPr="00A50426" w:rsidRDefault="0054594D" w:rsidP="007052ED">
            <w:pPr>
              <w:pStyle w:val="TableParagraph"/>
              <w:ind w:left="151" w:right="151"/>
              <w:jc w:val="center"/>
              <w:rPr>
                <w:sz w:val="26"/>
                <w:szCs w:val="26"/>
              </w:rPr>
            </w:pPr>
            <w:r w:rsidRPr="00A50426">
              <w:rPr>
                <w:sz w:val="26"/>
                <w:szCs w:val="26"/>
              </w:rPr>
              <w:t>Yếu</w:t>
            </w:r>
          </w:p>
        </w:tc>
        <w:tc>
          <w:tcPr>
            <w:tcW w:w="915" w:type="dxa"/>
          </w:tcPr>
          <w:p w14:paraId="047FD362" w14:textId="77777777" w:rsidR="0054594D" w:rsidRPr="00A50426" w:rsidRDefault="0054594D" w:rsidP="007052ED">
            <w:pPr>
              <w:pStyle w:val="TableParagraph"/>
              <w:ind w:left="137" w:right="141"/>
              <w:jc w:val="center"/>
              <w:rPr>
                <w:sz w:val="26"/>
                <w:szCs w:val="26"/>
              </w:rPr>
            </w:pPr>
            <w:r w:rsidRPr="00A50426">
              <w:rPr>
                <w:sz w:val="26"/>
                <w:szCs w:val="26"/>
              </w:rPr>
              <w:t>Giỏi</w:t>
            </w:r>
          </w:p>
        </w:tc>
        <w:tc>
          <w:tcPr>
            <w:tcW w:w="883" w:type="dxa"/>
          </w:tcPr>
          <w:p w14:paraId="36DD19D0" w14:textId="77777777" w:rsidR="0054594D" w:rsidRPr="00A50426" w:rsidRDefault="0054594D" w:rsidP="007052ED">
            <w:pPr>
              <w:pStyle w:val="TableParagraph"/>
              <w:ind w:left="124" w:right="124"/>
              <w:jc w:val="center"/>
              <w:rPr>
                <w:sz w:val="26"/>
                <w:szCs w:val="26"/>
              </w:rPr>
            </w:pPr>
            <w:r w:rsidRPr="00A50426">
              <w:rPr>
                <w:sz w:val="26"/>
                <w:szCs w:val="26"/>
              </w:rPr>
              <w:t>Khá</w:t>
            </w:r>
          </w:p>
        </w:tc>
        <w:tc>
          <w:tcPr>
            <w:tcW w:w="941" w:type="dxa"/>
          </w:tcPr>
          <w:p w14:paraId="5B3417C7" w14:textId="77777777" w:rsidR="0054594D" w:rsidRPr="00A50426" w:rsidRDefault="0054594D" w:rsidP="007052ED">
            <w:pPr>
              <w:pStyle w:val="TableParagraph"/>
              <w:ind w:left="152" w:right="152"/>
              <w:jc w:val="center"/>
              <w:rPr>
                <w:sz w:val="26"/>
                <w:szCs w:val="26"/>
              </w:rPr>
            </w:pPr>
            <w:r w:rsidRPr="00A50426">
              <w:rPr>
                <w:sz w:val="26"/>
                <w:szCs w:val="26"/>
              </w:rPr>
              <w:t>TB</w:t>
            </w:r>
          </w:p>
        </w:tc>
        <w:tc>
          <w:tcPr>
            <w:tcW w:w="806" w:type="dxa"/>
          </w:tcPr>
          <w:p w14:paraId="7881179D" w14:textId="77777777" w:rsidR="0054594D" w:rsidRPr="00A50426" w:rsidRDefault="0054594D" w:rsidP="007052ED">
            <w:pPr>
              <w:pStyle w:val="TableParagraph"/>
              <w:ind w:left="150" w:right="150"/>
              <w:jc w:val="center"/>
              <w:rPr>
                <w:sz w:val="26"/>
                <w:szCs w:val="26"/>
              </w:rPr>
            </w:pPr>
            <w:r w:rsidRPr="00A50426">
              <w:rPr>
                <w:sz w:val="26"/>
                <w:szCs w:val="26"/>
              </w:rPr>
              <w:t>Yếu</w:t>
            </w:r>
          </w:p>
        </w:tc>
        <w:tc>
          <w:tcPr>
            <w:tcW w:w="992" w:type="dxa"/>
          </w:tcPr>
          <w:p w14:paraId="0B73D893" w14:textId="77777777" w:rsidR="0054594D" w:rsidRPr="00A50426" w:rsidRDefault="0054594D" w:rsidP="007052ED">
            <w:pPr>
              <w:pStyle w:val="TableParagraph"/>
              <w:ind w:left="237"/>
              <w:rPr>
                <w:sz w:val="26"/>
                <w:szCs w:val="26"/>
              </w:rPr>
            </w:pPr>
            <w:r w:rsidRPr="00A50426">
              <w:rPr>
                <w:sz w:val="26"/>
                <w:szCs w:val="26"/>
              </w:rPr>
              <w:t>Kém</w:t>
            </w:r>
          </w:p>
        </w:tc>
      </w:tr>
      <w:tr w:rsidR="0054594D" w:rsidRPr="00A50426" w14:paraId="7DECDC32" w14:textId="77777777" w:rsidTr="00C27A2C">
        <w:trPr>
          <w:trHeight w:hRule="exact" w:val="430"/>
        </w:trPr>
        <w:tc>
          <w:tcPr>
            <w:tcW w:w="1411" w:type="dxa"/>
            <w:vAlign w:val="center"/>
          </w:tcPr>
          <w:p w14:paraId="4CE59B9D" w14:textId="04074F9A" w:rsidR="0054594D" w:rsidRPr="00A50426" w:rsidRDefault="00C55656" w:rsidP="007052ED">
            <w:pPr>
              <w:pStyle w:val="TableParagraph"/>
              <w:ind w:left="0" w:right="139"/>
              <w:rPr>
                <w:sz w:val="26"/>
                <w:szCs w:val="26"/>
              </w:rPr>
            </w:pPr>
            <w:r>
              <w:rPr>
                <w:sz w:val="26"/>
                <w:szCs w:val="26"/>
              </w:rPr>
              <w:t>2018-2019</w:t>
            </w:r>
            <w:r w:rsidR="0054594D" w:rsidRPr="00A50426">
              <w:rPr>
                <w:sz w:val="26"/>
                <w:szCs w:val="26"/>
              </w:rPr>
              <w:t xml:space="preserve"> </w:t>
            </w:r>
          </w:p>
        </w:tc>
        <w:tc>
          <w:tcPr>
            <w:tcW w:w="859" w:type="dxa"/>
            <w:vAlign w:val="center"/>
          </w:tcPr>
          <w:p w14:paraId="1F8FB891" w14:textId="77777777" w:rsidR="0054594D" w:rsidRPr="00A50426" w:rsidRDefault="009876A6" w:rsidP="007052ED">
            <w:pPr>
              <w:jc w:val="center"/>
              <w:rPr>
                <w:sz w:val="26"/>
                <w:szCs w:val="26"/>
              </w:rPr>
            </w:pPr>
            <w:r>
              <w:rPr>
                <w:sz w:val="26"/>
                <w:szCs w:val="26"/>
              </w:rPr>
              <w:t>90</w:t>
            </w:r>
            <w:r w:rsidR="0054594D" w:rsidRPr="00A50426">
              <w:rPr>
                <w:sz w:val="26"/>
                <w:szCs w:val="26"/>
              </w:rPr>
              <w:t>.</w:t>
            </w:r>
            <w:r>
              <w:rPr>
                <w:sz w:val="26"/>
                <w:szCs w:val="26"/>
              </w:rPr>
              <w:t>3</w:t>
            </w:r>
          </w:p>
        </w:tc>
        <w:tc>
          <w:tcPr>
            <w:tcW w:w="872" w:type="dxa"/>
            <w:vAlign w:val="center"/>
          </w:tcPr>
          <w:p w14:paraId="67A8670B" w14:textId="77777777" w:rsidR="0054594D" w:rsidRPr="00A50426" w:rsidRDefault="009876A6" w:rsidP="007052ED">
            <w:pPr>
              <w:jc w:val="center"/>
              <w:rPr>
                <w:sz w:val="26"/>
                <w:szCs w:val="26"/>
              </w:rPr>
            </w:pPr>
            <w:r>
              <w:rPr>
                <w:sz w:val="26"/>
                <w:szCs w:val="26"/>
              </w:rPr>
              <w:t>8</w:t>
            </w:r>
            <w:r w:rsidR="0054594D" w:rsidRPr="00A50426">
              <w:rPr>
                <w:sz w:val="26"/>
                <w:szCs w:val="26"/>
              </w:rPr>
              <w:t>.</w:t>
            </w:r>
            <w:r>
              <w:rPr>
                <w:sz w:val="26"/>
                <w:szCs w:val="26"/>
              </w:rPr>
              <w:t>9</w:t>
            </w:r>
          </w:p>
        </w:tc>
        <w:tc>
          <w:tcPr>
            <w:tcW w:w="862" w:type="dxa"/>
            <w:vAlign w:val="center"/>
          </w:tcPr>
          <w:p w14:paraId="4285FF11" w14:textId="77777777" w:rsidR="0054594D" w:rsidRPr="00A50426" w:rsidRDefault="00AB285D" w:rsidP="007052ED">
            <w:pPr>
              <w:jc w:val="center"/>
              <w:rPr>
                <w:sz w:val="26"/>
                <w:szCs w:val="26"/>
              </w:rPr>
            </w:pPr>
            <w:r>
              <w:rPr>
                <w:sz w:val="26"/>
                <w:szCs w:val="26"/>
              </w:rPr>
              <w:t>0.</w:t>
            </w:r>
            <w:r w:rsidR="009876A6">
              <w:rPr>
                <w:sz w:val="26"/>
                <w:szCs w:val="26"/>
              </w:rPr>
              <w:t>7</w:t>
            </w:r>
          </w:p>
        </w:tc>
        <w:tc>
          <w:tcPr>
            <w:tcW w:w="809" w:type="dxa"/>
            <w:vAlign w:val="center"/>
          </w:tcPr>
          <w:p w14:paraId="2997027F" w14:textId="77777777" w:rsidR="0054594D" w:rsidRPr="00A50426" w:rsidRDefault="0054594D" w:rsidP="007052ED">
            <w:pPr>
              <w:jc w:val="center"/>
              <w:rPr>
                <w:sz w:val="26"/>
                <w:szCs w:val="26"/>
              </w:rPr>
            </w:pPr>
            <w:r w:rsidRPr="00A50426">
              <w:rPr>
                <w:sz w:val="26"/>
                <w:szCs w:val="26"/>
              </w:rPr>
              <w:t>0.0</w:t>
            </w:r>
          </w:p>
        </w:tc>
        <w:tc>
          <w:tcPr>
            <w:tcW w:w="915" w:type="dxa"/>
            <w:vAlign w:val="center"/>
          </w:tcPr>
          <w:p w14:paraId="21479B61" w14:textId="77777777" w:rsidR="0054594D" w:rsidRPr="00A50426" w:rsidRDefault="00AB285D" w:rsidP="007052ED">
            <w:pPr>
              <w:jc w:val="center"/>
              <w:rPr>
                <w:sz w:val="26"/>
                <w:szCs w:val="26"/>
              </w:rPr>
            </w:pPr>
            <w:r>
              <w:rPr>
                <w:sz w:val="26"/>
                <w:szCs w:val="26"/>
              </w:rPr>
              <w:t>26</w:t>
            </w:r>
            <w:r w:rsidR="0054594D" w:rsidRPr="00A50426">
              <w:rPr>
                <w:sz w:val="26"/>
                <w:szCs w:val="26"/>
              </w:rPr>
              <w:t>.</w:t>
            </w:r>
            <w:r w:rsidR="009876A6">
              <w:rPr>
                <w:sz w:val="26"/>
                <w:szCs w:val="26"/>
              </w:rPr>
              <w:t>5</w:t>
            </w:r>
          </w:p>
        </w:tc>
        <w:tc>
          <w:tcPr>
            <w:tcW w:w="883" w:type="dxa"/>
            <w:vAlign w:val="center"/>
          </w:tcPr>
          <w:p w14:paraId="53209887" w14:textId="77777777" w:rsidR="0054594D" w:rsidRPr="00A50426" w:rsidRDefault="0054594D" w:rsidP="007052ED">
            <w:pPr>
              <w:jc w:val="center"/>
              <w:rPr>
                <w:sz w:val="26"/>
                <w:szCs w:val="26"/>
              </w:rPr>
            </w:pPr>
            <w:r w:rsidRPr="00A50426">
              <w:rPr>
                <w:sz w:val="26"/>
                <w:szCs w:val="26"/>
              </w:rPr>
              <w:t>41.</w:t>
            </w:r>
            <w:r w:rsidR="009876A6">
              <w:rPr>
                <w:sz w:val="26"/>
                <w:szCs w:val="26"/>
              </w:rPr>
              <w:t>6</w:t>
            </w:r>
          </w:p>
        </w:tc>
        <w:tc>
          <w:tcPr>
            <w:tcW w:w="941" w:type="dxa"/>
            <w:vAlign w:val="center"/>
          </w:tcPr>
          <w:p w14:paraId="2488470A" w14:textId="77777777" w:rsidR="0054594D" w:rsidRPr="00A50426" w:rsidRDefault="00AB285D" w:rsidP="007052ED">
            <w:pPr>
              <w:jc w:val="center"/>
              <w:rPr>
                <w:sz w:val="26"/>
                <w:szCs w:val="26"/>
              </w:rPr>
            </w:pPr>
            <w:r>
              <w:rPr>
                <w:sz w:val="26"/>
                <w:szCs w:val="26"/>
              </w:rPr>
              <w:t>29</w:t>
            </w:r>
            <w:r w:rsidR="0054594D" w:rsidRPr="00A50426">
              <w:rPr>
                <w:sz w:val="26"/>
                <w:szCs w:val="26"/>
              </w:rPr>
              <w:t>.</w:t>
            </w:r>
            <w:r w:rsidR="009876A6">
              <w:rPr>
                <w:sz w:val="26"/>
                <w:szCs w:val="26"/>
              </w:rPr>
              <w:t>6</w:t>
            </w:r>
          </w:p>
        </w:tc>
        <w:tc>
          <w:tcPr>
            <w:tcW w:w="806" w:type="dxa"/>
            <w:vAlign w:val="center"/>
          </w:tcPr>
          <w:p w14:paraId="1B1A15DD" w14:textId="77777777" w:rsidR="0054594D" w:rsidRPr="00A50426" w:rsidRDefault="0054594D" w:rsidP="007052ED">
            <w:pPr>
              <w:jc w:val="center"/>
              <w:rPr>
                <w:sz w:val="26"/>
                <w:szCs w:val="26"/>
              </w:rPr>
            </w:pPr>
            <w:r w:rsidRPr="00A50426">
              <w:rPr>
                <w:sz w:val="26"/>
                <w:szCs w:val="26"/>
              </w:rPr>
              <w:t>2.</w:t>
            </w:r>
            <w:r w:rsidR="009876A6">
              <w:rPr>
                <w:sz w:val="26"/>
                <w:szCs w:val="26"/>
              </w:rPr>
              <w:t>3</w:t>
            </w:r>
          </w:p>
        </w:tc>
        <w:tc>
          <w:tcPr>
            <w:tcW w:w="992" w:type="dxa"/>
            <w:vAlign w:val="center"/>
          </w:tcPr>
          <w:p w14:paraId="52C580D9" w14:textId="77777777" w:rsidR="0054594D" w:rsidRPr="00A50426" w:rsidRDefault="0054594D" w:rsidP="007052ED">
            <w:pPr>
              <w:ind w:firstLineChars="100" w:firstLine="260"/>
              <w:jc w:val="center"/>
              <w:rPr>
                <w:sz w:val="26"/>
                <w:szCs w:val="26"/>
              </w:rPr>
            </w:pPr>
            <w:r w:rsidRPr="00A50426">
              <w:rPr>
                <w:sz w:val="26"/>
                <w:szCs w:val="26"/>
              </w:rPr>
              <w:t>0.1</w:t>
            </w:r>
          </w:p>
        </w:tc>
      </w:tr>
      <w:tr w:rsidR="0054594D" w:rsidRPr="00A50426" w14:paraId="0403769D" w14:textId="77777777" w:rsidTr="00C27A2C">
        <w:trPr>
          <w:trHeight w:hRule="exact" w:val="430"/>
        </w:trPr>
        <w:tc>
          <w:tcPr>
            <w:tcW w:w="1411" w:type="dxa"/>
            <w:vAlign w:val="center"/>
          </w:tcPr>
          <w:p w14:paraId="02C8626E" w14:textId="03EA31E5" w:rsidR="0054594D" w:rsidRPr="00A50426" w:rsidRDefault="00C55656" w:rsidP="007052ED">
            <w:pPr>
              <w:pStyle w:val="TableParagraph"/>
              <w:ind w:left="0" w:right="139"/>
              <w:rPr>
                <w:sz w:val="26"/>
                <w:szCs w:val="26"/>
              </w:rPr>
            </w:pPr>
            <w:r>
              <w:rPr>
                <w:sz w:val="26"/>
                <w:szCs w:val="26"/>
              </w:rPr>
              <w:t>2019-2020</w:t>
            </w:r>
          </w:p>
        </w:tc>
        <w:tc>
          <w:tcPr>
            <w:tcW w:w="859" w:type="dxa"/>
            <w:vAlign w:val="center"/>
          </w:tcPr>
          <w:p w14:paraId="5C74B79A" w14:textId="5CEC48A9" w:rsidR="0054594D" w:rsidRPr="00A50426" w:rsidRDefault="00C55656" w:rsidP="007052ED">
            <w:pPr>
              <w:jc w:val="center"/>
              <w:rPr>
                <w:sz w:val="26"/>
                <w:szCs w:val="26"/>
              </w:rPr>
            </w:pPr>
            <w:r>
              <w:rPr>
                <w:sz w:val="26"/>
                <w:szCs w:val="26"/>
              </w:rPr>
              <w:t>92.2</w:t>
            </w:r>
          </w:p>
        </w:tc>
        <w:tc>
          <w:tcPr>
            <w:tcW w:w="872" w:type="dxa"/>
            <w:vAlign w:val="center"/>
          </w:tcPr>
          <w:p w14:paraId="04B47E25" w14:textId="2F72951B" w:rsidR="0054594D" w:rsidRPr="00A50426" w:rsidRDefault="00C55656" w:rsidP="007052ED">
            <w:pPr>
              <w:jc w:val="center"/>
              <w:rPr>
                <w:sz w:val="26"/>
                <w:szCs w:val="26"/>
              </w:rPr>
            </w:pPr>
            <w:r>
              <w:rPr>
                <w:sz w:val="26"/>
                <w:szCs w:val="26"/>
              </w:rPr>
              <w:t>7.3</w:t>
            </w:r>
          </w:p>
        </w:tc>
        <w:tc>
          <w:tcPr>
            <w:tcW w:w="862" w:type="dxa"/>
            <w:vAlign w:val="center"/>
          </w:tcPr>
          <w:p w14:paraId="1B580AD7" w14:textId="76455574" w:rsidR="0054594D" w:rsidRPr="00A50426" w:rsidRDefault="00C55656" w:rsidP="007052ED">
            <w:pPr>
              <w:jc w:val="center"/>
              <w:rPr>
                <w:sz w:val="26"/>
                <w:szCs w:val="26"/>
              </w:rPr>
            </w:pPr>
            <w:r>
              <w:rPr>
                <w:sz w:val="26"/>
                <w:szCs w:val="26"/>
              </w:rPr>
              <w:t>0.5</w:t>
            </w:r>
          </w:p>
        </w:tc>
        <w:tc>
          <w:tcPr>
            <w:tcW w:w="809" w:type="dxa"/>
            <w:vAlign w:val="center"/>
          </w:tcPr>
          <w:p w14:paraId="1BA492D4" w14:textId="083D0CCF" w:rsidR="0054594D" w:rsidRPr="00A50426" w:rsidRDefault="0054594D" w:rsidP="007052ED">
            <w:pPr>
              <w:jc w:val="center"/>
              <w:rPr>
                <w:sz w:val="26"/>
                <w:szCs w:val="26"/>
              </w:rPr>
            </w:pPr>
            <w:r w:rsidRPr="00A50426">
              <w:rPr>
                <w:sz w:val="26"/>
                <w:szCs w:val="26"/>
              </w:rPr>
              <w:t>0.</w:t>
            </w:r>
            <w:r w:rsidR="00C55656">
              <w:rPr>
                <w:sz w:val="26"/>
                <w:szCs w:val="26"/>
              </w:rPr>
              <w:t>0</w:t>
            </w:r>
          </w:p>
        </w:tc>
        <w:tc>
          <w:tcPr>
            <w:tcW w:w="915" w:type="dxa"/>
            <w:vAlign w:val="center"/>
          </w:tcPr>
          <w:p w14:paraId="13A195C0" w14:textId="4089CCE3" w:rsidR="0054594D" w:rsidRPr="00A50426" w:rsidRDefault="009876A6" w:rsidP="007052ED">
            <w:pPr>
              <w:jc w:val="center"/>
              <w:rPr>
                <w:sz w:val="26"/>
                <w:szCs w:val="26"/>
              </w:rPr>
            </w:pPr>
            <w:r>
              <w:rPr>
                <w:sz w:val="26"/>
                <w:szCs w:val="26"/>
              </w:rPr>
              <w:t>2</w:t>
            </w:r>
            <w:r w:rsidR="00C55656">
              <w:rPr>
                <w:sz w:val="26"/>
                <w:szCs w:val="26"/>
              </w:rPr>
              <w:t>8</w:t>
            </w:r>
            <w:r w:rsidR="0054594D">
              <w:rPr>
                <w:sz w:val="26"/>
                <w:szCs w:val="26"/>
              </w:rPr>
              <w:t>.</w:t>
            </w:r>
            <w:r w:rsidR="00C55656">
              <w:rPr>
                <w:sz w:val="26"/>
                <w:szCs w:val="26"/>
              </w:rPr>
              <w:t>6</w:t>
            </w:r>
          </w:p>
        </w:tc>
        <w:tc>
          <w:tcPr>
            <w:tcW w:w="883" w:type="dxa"/>
            <w:vAlign w:val="center"/>
          </w:tcPr>
          <w:p w14:paraId="38FAAC36" w14:textId="424AEDC1" w:rsidR="0054594D" w:rsidRPr="00A50426" w:rsidRDefault="00C55656" w:rsidP="007052ED">
            <w:pPr>
              <w:jc w:val="center"/>
              <w:rPr>
                <w:sz w:val="26"/>
                <w:szCs w:val="26"/>
              </w:rPr>
            </w:pPr>
            <w:r>
              <w:rPr>
                <w:sz w:val="26"/>
                <w:szCs w:val="26"/>
              </w:rPr>
              <w:t>41</w:t>
            </w:r>
            <w:r w:rsidR="009876A6">
              <w:rPr>
                <w:sz w:val="26"/>
                <w:szCs w:val="26"/>
              </w:rPr>
              <w:t>.</w:t>
            </w:r>
            <w:r>
              <w:rPr>
                <w:sz w:val="26"/>
                <w:szCs w:val="26"/>
              </w:rPr>
              <w:t>6</w:t>
            </w:r>
          </w:p>
        </w:tc>
        <w:tc>
          <w:tcPr>
            <w:tcW w:w="941" w:type="dxa"/>
            <w:vAlign w:val="center"/>
          </w:tcPr>
          <w:p w14:paraId="03AD55B5" w14:textId="5FB08E0F" w:rsidR="0054594D" w:rsidRPr="00A50426" w:rsidRDefault="00C55656" w:rsidP="007052ED">
            <w:pPr>
              <w:jc w:val="center"/>
              <w:rPr>
                <w:sz w:val="26"/>
                <w:szCs w:val="26"/>
              </w:rPr>
            </w:pPr>
            <w:r>
              <w:rPr>
                <w:sz w:val="26"/>
                <w:szCs w:val="26"/>
              </w:rPr>
              <w:t>28.1</w:t>
            </w:r>
          </w:p>
        </w:tc>
        <w:tc>
          <w:tcPr>
            <w:tcW w:w="806" w:type="dxa"/>
            <w:vAlign w:val="center"/>
          </w:tcPr>
          <w:p w14:paraId="2BBDBC2C" w14:textId="5EB68088" w:rsidR="0054594D" w:rsidRPr="00A50426" w:rsidRDefault="00C55656" w:rsidP="007052ED">
            <w:pPr>
              <w:jc w:val="center"/>
              <w:rPr>
                <w:sz w:val="26"/>
                <w:szCs w:val="26"/>
              </w:rPr>
            </w:pPr>
            <w:r>
              <w:rPr>
                <w:sz w:val="26"/>
                <w:szCs w:val="26"/>
              </w:rPr>
              <w:t>1</w:t>
            </w:r>
            <w:r w:rsidR="00AB285D">
              <w:rPr>
                <w:sz w:val="26"/>
                <w:szCs w:val="26"/>
              </w:rPr>
              <w:t>.6</w:t>
            </w:r>
          </w:p>
        </w:tc>
        <w:tc>
          <w:tcPr>
            <w:tcW w:w="992" w:type="dxa"/>
            <w:vAlign w:val="center"/>
          </w:tcPr>
          <w:p w14:paraId="28E8BF66" w14:textId="23A43392" w:rsidR="0054594D" w:rsidRPr="00A50426" w:rsidRDefault="0054594D" w:rsidP="007052ED">
            <w:pPr>
              <w:ind w:firstLineChars="100" w:firstLine="260"/>
              <w:jc w:val="center"/>
              <w:rPr>
                <w:sz w:val="26"/>
                <w:szCs w:val="26"/>
              </w:rPr>
            </w:pPr>
            <w:r w:rsidRPr="00A50426">
              <w:rPr>
                <w:sz w:val="26"/>
                <w:szCs w:val="26"/>
              </w:rPr>
              <w:t>0.</w:t>
            </w:r>
            <w:r w:rsidR="00C55656">
              <w:rPr>
                <w:sz w:val="26"/>
                <w:szCs w:val="26"/>
              </w:rPr>
              <w:t>1</w:t>
            </w:r>
          </w:p>
        </w:tc>
      </w:tr>
    </w:tbl>
    <w:p w14:paraId="13EA0E40" w14:textId="77777777" w:rsidR="0054594D" w:rsidRPr="00F558A8" w:rsidRDefault="0054594D" w:rsidP="004763F1">
      <w:pPr>
        <w:pStyle w:val="BodyText"/>
        <w:widowControl w:val="0"/>
        <w:spacing w:before="120"/>
        <w:ind w:firstLine="709"/>
        <w:rPr>
          <w:b/>
          <w:sz w:val="27"/>
          <w:szCs w:val="27"/>
        </w:rPr>
      </w:pPr>
      <w:r w:rsidRPr="00F558A8">
        <w:rPr>
          <w:b/>
          <w:sz w:val="27"/>
          <w:szCs w:val="27"/>
        </w:rPr>
        <w:tab/>
        <w:t>9.2. Cấp</w:t>
      </w:r>
      <w:r w:rsidRPr="00F558A8">
        <w:rPr>
          <w:b/>
          <w:spacing w:val="-4"/>
          <w:sz w:val="27"/>
          <w:szCs w:val="27"/>
        </w:rPr>
        <w:t xml:space="preserve"> </w:t>
      </w:r>
      <w:r w:rsidRPr="00F558A8">
        <w:rPr>
          <w:b/>
          <w:sz w:val="27"/>
          <w:szCs w:val="27"/>
        </w:rPr>
        <w:t xml:space="preserve">THPT </w:t>
      </w:r>
      <w:r w:rsidRPr="00F558A8">
        <w:rPr>
          <w:i/>
          <w:sz w:val="27"/>
          <w:szCs w:val="27"/>
        </w:rPr>
        <w:t>(có phụ lục kèm theo)</w:t>
      </w:r>
    </w:p>
    <w:tbl>
      <w:tblPr>
        <w:tblW w:w="9349" w:type="dxa"/>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411"/>
        <w:gridCol w:w="859"/>
        <w:gridCol w:w="872"/>
        <w:gridCol w:w="830"/>
        <w:gridCol w:w="840"/>
        <w:gridCol w:w="884"/>
        <w:gridCol w:w="883"/>
        <w:gridCol w:w="941"/>
        <w:gridCol w:w="979"/>
        <w:gridCol w:w="850"/>
      </w:tblGrid>
      <w:tr w:rsidR="0054594D" w:rsidRPr="00F86795" w14:paraId="201BC519" w14:textId="77777777" w:rsidTr="00C55656">
        <w:trPr>
          <w:trHeight w:hRule="exact" w:val="427"/>
        </w:trPr>
        <w:tc>
          <w:tcPr>
            <w:tcW w:w="1411" w:type="dxa"/>
            <w:vMerge w:val="restart"/>
            <w:vAlign w:val="center"/>
          </w:tcPr>
          <w:p w14:paraId="15315CFB" w14:textId="77777777" w:rsidR="0054594D" w:rsidRPr="00F86795" w:rsidRDefault="0054594D" w:rsidP="007052ED">
            <w:pPr>
              <w:pStyle w:val="TableParagraph"/>
              <w:ind w:left="227"/>
              <w:rPr>
                <w:sz w:val="26"/>
                <w:szCs w:val="26"/>
              </w:rPr>
            </w:pPr>
            <w:r w:rsidRPr="00F86795">
              <w:rPr>
                <w:sz w:val="26"/>
                <w:szCs w:val="26"/>
              </w:rPr>
              <w:t>Năm học</w:t>
            </w:r>
          </w:p>
        </w:tc>
        <w:tc>
          <w:tcPr>
            <w:tcW w:w="3401" w:type="dxa"/>
            <w:gridSpan w:val="4"/>
            <w:vAlign w:val="center"/>
          </w:tcPr>
          <w:p w14:paraId="21C8D7B6" w14:textId="77777777" w:rsidR="0054594D" w:rsidRPr="00F86795" w:rsidRDefault="0054594D" w:rsidP="007052ED">
            <w:pPr>
              <w:pStyle w:val="TableParagraph"/>
              <w:ind w:left="895"/>
              <w:jc w:val="center"/>
              <w:rPr>
                <w:sz w:val="26"/>
                <w:szCs w:val="26"/>
              </w:rPr>
            </w:pPr>
            <w:r w:rsidRPr="00F86795">
              <w:rPr>
                <w:sz w:val="26"/>
                <w:szCs w:val="26"/>
              </w:rPr>
              <w:t>Hạnh kiểm (%)</w:t>
            </w:r>
          </w:p>
        </w:tc>
        <w:tc>
          <w:tcPr>
            <w:tcW w:w="4537" w:type="dxa"/>
            <w:gridSpan w:val="5"/>
            <w:vAlign w:val="center"/>
          </w:tcPr>
          <w:p w14:paraId="31082262" w14:textId="77777777" w:rsidR="0054594D" w:rsidRPr="00F86795" w:rsidRDefault="0054594D" w:rsidP="007052ED">
            <w:pPr>
              <w:pStyle w:val="TableParagraph"/>
              <w:ind w:left="1602" w:right="1603"/>
              <w:jc w:val="center"/>
              <w:rPr>
                <w:sz w:val="26"/>
                <w:szCs w:val="26"/>
              </w:rPr>
            </w:pPr>
            <w:r w:rsidRPr="00F86795">
              <w:rPr>
                <w:sz w:val="26"/>
                <w:szCs w:val="26"/>
              </w:rPr>
              <w:t>Học lực (%)</w:t>
            </w:r>
          </w:p>
        </w:tc>
      </w:tr>
      <w:tr w:rsidR="0054594D" w:rsidRPr="00F86795" w14:paraId="3A847064" w14:textId="77777777" w:rsidTr="00C55656">
        <w:trPr>
          <w:trHeight w:hRule="exact" w:val="430"/>
        </w:trPr>
        <w:tc>
          <w:tcPr>
            <w:tcW w:w="1411" w:type="dxa"/>
            <w:vMerge/>
            <w:vAlign w:val="center"/>
          </w:tcPr>
          <w:p w14:paraId="64650C19" w14:textId="77777777" w:rsidR="0054594D" w:rsidRPr="00F86795" w:rsidRDefault="0054594D" w:rsidP="007052ED">
            <w:pPr>
              <w:rPr>
                <w:sz w:val="26"/>
                <w:szCs w:val="26"/>
              </w:rPr>
            </w:pPr>
          </w:p>
        </w:tc>
        <w:tc>
          <w:tcPr>
            <w:tcW w:w="859" w:type="dxa"/>
          </w:tcPr>
          <w:p w14:paraId="138E07E2" w14:textId="77777777" w:rsidR="0054594D" w:rsidRPr="00F86795" w:rsidRDefault="0054594D" w:rsidP="007052ED">
            <w:pPr>
              <w:pStyle w:val="TableParagraph"/>
              <w:ind w:left="112" w:right="112"/>
              <w:jc w:val="center"/>
              <w:rPr>
                <w:sz w:val="26"/>
                <w:szCs w:val="26"/>
              </w:rPr>
            </w:pPr>
            <w:r w:rsidRPr="00F86795">
              <w:rPr>
                <w:sz w:val="26"/>
                <w:szCs w:val="26"/>
              </w:rPr>
              <w:t>Tốt</w:t>
            </w:r>
          </w:p>
        </w:tc>
        <w:tc>
          <w:tcPr>
            <w:tcW w:w="872" w:type="dxa"/>
          </w:tcPr>
          <w:p w14:paraId="4AD112B0" w14:textId="77777777" w:rsidR="0054594D" w:rsidRPr="00F86795" w:rsidRDefault="0054594D" w:rsidP="007052ED">
            <w:pPr>
              <w:pStyle w:val="TableParagraph"/>
              <w:ind w:left="117" w:right="118"/>
              <w:jc w:val="center"/>
              <w:rPr>
                <w:sz w:val="26"/>
                <w:szCs w:val="26"/>
              </w:rPr>
            </w:pPr>
            <w:r w:rsidRPr="00F86795">
              <w:rPr>
                <w:sz w:val="26"/>
                <w:szCs w:val="26"/>
              </w:rPr>
              <w:t>Khá</w:t>
            </w:r>
          </w:p>
        </w:tc>
        <w:tc>
          <w:tcPr>
            <w:tcW w:w="830" w:type="dxa"/>
          </w:tcPr>
          <w:p w14:paraId="51C6BC82" w14:textId="77777777" w:rsidR="0054594D" w:rsidRPr="00F86795" w:rsidRDefault="0054594D" w:rsidP="007052ED">
            <w:pPr>
              <w:pStyle w:val="TableParagraph"/>
              <w:ind w:left="160" w:right="162"/>
              <w:jc w:val="center"/>
              <w:rPr>
                <w:sz w:val="26"/>
                <w:szCs w:val="26"/>
              </w:rPr>
            </w:pPr>
            <w:r w:rsidRPr="00F86795">
              <w:rPr>
                <w:sz w:val="26"/>
                <w:szCs w:val="26"/>
              </w:rPr>
              <w:t>TB</w:t>
            </w:r>
          </w:p>
        </w:tc>
        <w:tc>
          <w:tcPr>
            <w:tcW w:w="840" w:type="dxa"/>
          </w:tcPr>
          <w:p w14:paraId="503AA782" w14:textId="77777777" w:rsidR="0054594D" w:rsidRPr="00F86795" w:rsidRDefault="0054594D" w:rsidP="007052ED">
            <w:pPr>
              <w:pStyle w:val="TableParagraph"/>
              <w:ind w:left="167" w:right="167"/>
              <w:jc w:val="center"/>
              <w:rPr>
                <w:sz w:val="26"/>
                <w:szCs w:val="26"/>
              </w:rPr>
            </w:pPr>
            <w:r w:rsidRPr="00F86795">
              <w:rPr>
                <w:sz w:val="26"/>
                <w:szCs w:val="26"/>
              </w:rPr>
              <w:t>Yếu</w:t>
            </w:r>
          </w:p>
        </w:tc>
        <w:tc>
          <w:tcPr>
            <w:tcW w:w="884" w:type="dxa"/>
          </w:tcPr>
          <w:p w14:paraId="75390FB9" w14:textId="77777777" w:rsidR="0054594D" w:rsidRPr="00F86795" w:rsidRDefault="0054594D" w:rsidP="007052ED">
            <w:pPr>
              <w:pStyle w:val="TableParagraph"/>
              <w:ind w:left="122" w:right="124"/>
              <w:jc w:val="center"/>
              <w:rPr>
                <w:sz w:val="26"/>
                <w:szCs w:val="26"/>
              </w:rPr>
            </w:pPr>
            <w:r w:rsidRPr="00F86795">
              <w:rPr>
                <w:sz w:val="26"/>
                <w:szCs w:val="26"/>
              </w:rPr>
              <w:t>Giỏi</w:t>
            </w:r>
          </w:p>
        </w:tc>
        <w:tc>
          <w:tcPr>
            <w:tcW w:w="883" w:type="dxa"/>
          </w:tcPr>
          <w:p w14:paraId="291D22D2" w14:textId="77777777" w:rsidR="0054594D" w:rsidRPr="00F86795" w:rsidRDefault="0054594D" w:rsidP="007052ED">
            <w:pPr>
              <w:pStyle w:val="TableParagraph"/>
              <w:ind w:left="124" w:right="124"/>
              <w:jc w:val="center"/>
              <w:rPr>
                <w:sz w:val="26"/>
                <w:szCs w:val="26"/>
              </w:rPr>
            </w:pPr>
            <w:r w:rsidRPr="00F86795">
              <w:rPr>
                <w:sz w:val="26"/>
                <w:szCs w:val="26"/>
              </w:rPr>
              <w:t>Khá</w:t>
            </w:r>
          </w:p>
        </w:tc>
        <w:tc>
          <w:tcPr>
            <w:tcW w:w="941" w:type="dxa"/>
          </w:tcPr>
          <w:p w14:paraId="5DCD9A72" w14:textId="77777777" w:rsidR="0054594D" w:rsidRPr="00F86795" w:rsidRDefault="0054594D" w:rsidP="007052ED">
            <w:pPr>
              <w:pStyle w:val="TableParagraph"/>
              <w:ind w:left="152" w:right="152"/>
              <w:jc w:val="center"/>
              <w:rPr>
                <w:sz w:val="26"/>
                <w:szCs w:val="26"/>
              </w:rPr>
            </w:pPr>
            <w:r w:rsidRPr="00F86795">
              <w:rPr>
                <w:sz w:val="26"/>
                <w:szCs w:val="26"/>
              </w:rPr>
              <w:t>TB</w:t>
            </w:r>
          </w:p>
        </w:tc>
        <w:tc>
          <w:tcPr>
            <w:tcW w:w="979" w:type="dxa"/>
          </w:tcPr>
          <w:p w14:paraId="33AADE2F" w14:textId="77777777" w:rsidR="0054594D" w:rsidRPr="00F86795" w:rsidRDefault="0054594D" w:rsidP="007052ED">
            <w:pPr>
              <w:pStyle w:val="TableParagraph"/>
              <w:ind w:left="237" w:right="237"/>
              <w:jc w:val="center"/>
              <w:rPr>
                <w:sz w:val="26"/>
                <w:szCs w:val="26"/>
              </w:rPr>
            </w:pPr>
            <w:r w:rsidRPr="00F86795">
              <w:rPr>
                <w:sz w:val="26"/>
                <w:szCs w:val="26"/>
              </w:rPr>
              <w:t>Yếu</w:t>
            </w:r>
          </w:p>
        </w:tc>
        <w:tc>
          <w:tcPr>
            <w:tcW w:w="850" w:type="dxa"/>
          </w:tcPr>
          <w:p w14:paraId="3D1A7197" w14:textId="77777777" w:rsidR="0054594D" w:rsidRPr="00F86795" w:rsidRDefault="0054594D" w:rsidP="007052ED">
            <w:pPr>
              <w:pStyle w:val="TableParagraph"/>
              <w:ind w:left="167"/>
              <w:rPr>
                <w:sz w:val="26"/>
                <w:szCs w:val="26"/>
              </w:rPr>
            </w:pPr>
            <w:r w:rsidRPr="00F86795">
              <w:rPr>
                <w:sz w:val="26"/>
                <w:szCs w:val="26"/>
              </w:rPr>
              <w:t>Kém</w:t>
            </w:r>
          </w:p>
        </w:tc>
      </w:tr>
      <w:tr w:rsidR="00C55656" w:rsidRPr="00F86795" w14:paraId="76D1FC67" w14:textId="77777777" w:rsidTr="00C55656">
        <w:trPr>
          <w:trHeight w:hRule="exact" w:val="430"/>
        </w:trPr>
        <w:tc>
          <w:tcPr>
            <w:tcW w:w="1411" w:type="dxa"/>
            <w:vAlign w:val="center"/>
          </w:tcPr>
          <w:p w14:paraId="05D8918F" w14:textId="7E1AD1CF" w:rsidR="00C55656" w:rsidRPr="00F86795" w:rsidRDefault="00C55656" w:rsidP="00C55656">
            <w:pPr>
              <w:pStyle w:val="TableParagraph"/>
              <w:ind w:left="0" w:right="142"/>
              <w:rPr>
                <w:sz w:val="26"/>
                <w:szCs w:val="26"/>
              </w:rPr>
            </w:pPr>
            <w:r>
              <w:rPr>
                <w:sz w:val="26"/>
                <w:szCs w:val="26"/>
              </w:rPr>
              <w:t>2018-2019</w:t>
            </w:r>
            <w:r w:rsidRPr="00A50426">
              <w:rPr>
                <w:sz w:val="26"/>
                <w:szCs w:val="26"/>
              </w:rPr>
              <w:t xml:space="preserve"> </w:t>
            </w:r>
          </w:p>
        </w:tc>
        <w:tc>
          <w:tcPr>
            <w:tcW w:w="859" w:type="dxa"/>
            <w:vAlign w:val="center"/>
          </w:tcPr>
          <w:p w14:paraId="6054DDA2" w14:textId="77777777" w:rsidR="00C55656" w:rsidRPr="00F86795" w:rsidRDefault="00C55656" w:rsidP="00C55656">
            <w:pPr>
              <w:pStyle w:val="TableParagraph"/>
              <w:ind w:left="112" w:right="112"/>
              <w:jc w:val="center"/>
              <w:rPr>
                <w:sz w:val="26"/>
                <w:szCs w:val="26"/>
              </w:rPr>
            </w:pPr>
            <w:r>
              <w:rPr>
                <w:sz w:val="26"/>
                <w:szCs w:val="26"/>
              </w:rPr>
              <w:t>84</w:t>
            </w:r>
            <w:r w:rsidRPr="00F86795">
              <w:rPr>
                <w:sz w:val="26"/>
                <w:szCs w:val="26"/>
              </w:rPr>
              <w:t>.</w:t>
            </w:r>
            <w:r>
              <w:rPr>
                <w:sz w:val="26"/>
                <w:szCs w:val="26"/>
              </w:rPr>
              <w:t>0</w:t>
            </w:r>
          </w:p>
        </w:tc>
        <w:tc>
          <w:tcPr>
            <w:tcW w:w="872" w:type="dxa"/>
            <w:vAlign w:val="center"/>
          </w:tcPr>
          <w:p w14:paraId="32C78304" w14:textId="77777777" w:rsidR="00C55656" w:rsidRPr="00F86795" w:rsidRDefault="00C55656" w:rsidP="00C55656">
            <w:pPr>
              <w:pStyle w:val="TableParagraph"/>
              <w:ind w:left="117" w:right="119"/>
              <w:jc w:val="center"/>
              <w:rPr>
                <w:sz w:val="26"/>
                <w:szCs w:val="26"/>
              </w:rPr>
            </w:pPr>
            <w:r w:rsidRPr="00F86795">
              <w:rPr>
                <w:sz w:val="26"/>
                <w:szCs w:val="26"/>
              </w:rPr>
              <w:t>1</w:t>
            </w:r>
            <w:r>
              <w:rPr>
                <w:sz w:val="26"/>
                <w:szCs w:val="26"/>
              </w:rPr>
              <w:t>3</w:t>
            </w:r>
            <w:r w:rsidRPr="00F86795">
              <w:rPr>
                <w:sz w:val="26"/>
                <w:szCs w:val="26"/>
              </w:rPr>
              <w:t>.</w:t>
            </w:r>
            <w:r>
              <w:rPr>
                <w:sz w:val="26"/>
                <w:szCs w:val="26"/>
              </w:rPr>
              <w:t>2</w:t>
            </w:r>
          </w:p>
        </w:tc>
        <w:tc>
          <w:tcPr>
            <w:tcW w:w="830" w:type="dxa"/>
            <w:vAlign w:val="center"/>
          </w:tcPr>
          <w:p w14:paraId="2AFA1143" w14:textId="77777777" w:rsidR="00C55656" w:rsidRPr="00F86795" w:rsidRDefault="00C55656" w:rsidP="00C55656">
            <w:pPr>
              <w:pStyle w:val="TableParagraph"/>
              <w:ind w:left="160" w:right="165"/>
              <w:jc w:val="center"/>
              <w:rPr>
                <w:sz w:val="26"/>
                <w:szCs w:val="26"/>
              </w:rPr>
            </w:pPr>
            <w:r>
              <w:rPr>
                <w:sz w:val="26"/>
                <w:szCs w:val="26"/>
              </w:rPr>
              <w:t>2</w:t>
            </w:r>
            <w:r w:rsidRPr="00F86795">
              <w:rPr>
                <w:sz w:val="26"/>
                <w:szCs w:val="26"/>
              </w:rPr>
              <w:t>.</w:t>
            </w:r>
            <w:r>
              <w:rPr>
                <w:sz w:val="26"/>
                <w:szCs w:val="26"/>
              </w:rPr>
              <w:t>5</w:t>
            </w:r>
          </w:p>
        </w:tc>
        <w:tc>
          <w:tcPr>
            <w:tcW w:w="840" w:type="dxa"/>
            <w:vAlign w:val="center"/>
          </w:tcPr>
          <w:p w14:paraId="567504E4" w14:textId="77777777" w:rsidR="00C55656" w:rsidRPr="00F86795" w:rsidRDefault="00C55656" w:rsidP="00C55656">
            <w:pPr>
              <w:pStyle w:val="TableParagraph"/>
              <w:ind w:left="167" w:right="167"/>
              <w:jc w:val="center"/>
              <w:rPr>
                <w:sz w:val="26"/>
                <w:szCs w:val="26"/>
              </w:rPr>
            </w:pPr>
            <w:r w:rsidRPr="00F86795">
              <w:rPr>
                <w:sz w:val="26"/>
                <w:szCs w:val="26"/>
              </w:rPr>
              <w:t>0.</w:t>
            </w:r>
            <w:r>
              <w:rPr>
                <w:sz w:val="26"/>
                <w:szCs w:val="26"/>
              </w:rPr>
              <w:t>4</w:t>
            </w:r>
          </w:p>
        </w:tc>
        <w:tc>
          <w:tcPr>
            <w:tcW w:w="884" w:type="dxa"/>
            <w:vAlign w:val="center"/>
          </w:tcPr>
          <w:p w14:paraId="62497897" w14:textId="77777777" w:rsidR="00C55656" w:rsidRPr="00F86795" w:rsidRDefault="00C55656" w:rsidP="00C55656">
            <w:pPr>
              <w:pStyle w:val="TableParagraph"/>
              <w:ind w:left="124" w:right="124"/>
              <w:jc w:val="center"/>
              <w:rPr>
                <w:sz w:val="26"/>
                <w:szCs w:val="26"/>
              </w:rPr>
            </w:pPr>
            <w:r w:rsidRPr="00F86795">
              <w:rPr>
                <w:sz w:val="26"/>
                <w:szCs w:val="26"/>
              </w:rPr>
              <w:t>1</w:t>
            </w:r>
            <w:r>
              <w:rPr>
                <w:sz w:val="26"/>
                <w:szCs w:val="26"/>
              </w:rPr>
              <w:t>4</w:t>
            </w:r>
            <w:r w:rsidRPr="00F86795">
              <w:rPr>
                <w:sz w:val="26"/>
                <w:szCs w:val="26"/>
              </w:rPr>
              <w:t>.</w:t>
            </w:r>
            <w:r>
              <w:rPr>
                <w:sz w:val="26"/>
                <w:szCs w:val="26"/>
              </w:rPr>
              <w:t>8</w:t>
            </w:r>
          </w:p>
        </w:tc>
        <w:tc>
          <w:tcPr>
            <w:tcW w:w="883" w:type="dxa"/>
            <w:vAlign w:val="center"/>
          </w:tcPr>
          <w:p w14:paraId="37A429EC" w14:textId="77777777" w:rsidR="00C55656" w:rsidRPr="00F86795" w:rsidRDefault="00C55656" w:rsidP="00C55656">
            <w:pPr>
              <w:pStyle w:val="TableParagraph"/>
              <w:ind w:left="124" w:right="124"/>
              <w:jc w:val="center"/>
              <w:rPr>
                <w:sz w:val="26"/>
                <w:szCs w:val="26"/>
              </w:rPr>
            </w:pPr>
            <w:r>
              <w:rPr>
                <w:sz w:val="26"/>
                <w:szCs w:val="26"/>
              </w:rPr>
              <w:t>50</w:t>
            </w:r>
            <w:r w:rsidRPr="00F86795">
              <w:rPr>
                <w:sz w:val="26"/>
                <w:szCs w:val="26"/>
              </w:rPr>
              <w:t>.</w:t>
            </w:r>
            <w:r>
              <w:rPr>
                <w:sz w:val="26"/>
                <w:szCs w:val="26"/>
              </w:rPr>
              <w:t>7</w:t>
            </w:r>
          </w:p>
        </w:tc>
        <w:tc>
          <w:tcPr>
            <w:tcW w:w="941" w:type="dxa"/>
            <w:vAlign w:val="center"/>
          </w:tcPr>
          <w:p w14:paraId="2FE9203F" w14:textId="77777777" w:rsidR="00C55656" w:rsidRPr="00F86795" w:rsidRDefault="00C55656" w:rsidP="00C55656">
            <w:pPr>
              <w:pStyle w:val="TableParagraph"/>
              <w:ind w:left="152" w:right="154"/>
              <w:jc w:val="center"/>
              <w:rPr>
                <w:sz w:val="26"/>
                <w:szCs w:val="26"/>
              </w:rPr>
            </w:pPr>
            <w:r w:rsidRPr="00F86795">
              <w:rPr>
                <w:sz w:val="26"/>
                <w:szCs w:val="26"/>
              </w:rPr>
              <w:t>3</w:t>
            </w:r>
            <w:r>
              <w:rPr>
                <w:sz w:val="26"/>
                <w:szCs w:val="26"/>
              </w:rPr>
              <w:t>0</w:t>
            </w:r>
            <w:r w:rsidRPr="00F86795">
              <w:rPr>
                <w:sz w:val="26"/>
                <w:szCs w:val="26"/>
              </w:rPr>
              <w:t>.</w:t>
            </w:r>
            <w:r>
              <w:rPr>
                <w:sz w:val="26"/>
                <w:szCs w:val="26"/>
              </w:rPr>
              <w:t>3</w:t>
            </w:r>
          </w:p>
        </w:tc>
        <w:tc>
          <w:tcPr>
            <w:tcW w:w="979" w:type="dxa"/>
            <w:vAlign w:val="center"/>
          </w:tcPr>
          <w:p w14:paraId="1D86DEBD" w14:textId="77777777" w:rsidR="00C55656" w:rsidRPr="00F86795" w:rsidRDefault="00C55656" w:rsidP="00C55656">
            <w:pPr>
              <w:pStyle w:val="TableParagraph"/>
              <w:ind w:left="237" w:right="237"/>
              <w:jc w:val="center"/>
              <w:rPr>
                <w:sz w:val="26"/>
                <w:szCs w:val="26"/>
              </w:rPr>
            </w:pPr>
            <w:r>
              <w:rPr>
                <w:sz w:val="26"/>
                <w:szCs w:val="26"/>
              </w:rPr>
              <w:t>3.9</w:t>
            </w:r>
          </w:p>
        </w:tc>
        <w:tc>
          <w:tcPr>
            <w:tcW w:w="850" w:type="dxa"/>
            <w:vAlign w:val="center"/>
          </w:tcPr>
          <w:p w14:paraId="5A1BC7EF" w14:textId="77777777" w:rsidR="00C55656" w:rsidRPr="00F86795" w:rsidRDefault="00C55656" w:rsidP="00C55656">
            <w:pPr>
              <w:pStyle w:val="TableParagraph"/>
              <w:ind w:left="191"/>
              <w:jc w:val="center"/>
              <w:rPr>
                <w:sz w:val="26"/>
                <w:szCs w:val="26"/>
              </w:rPr>
            </w:pPr>
            <w:r w:rsidRPr="00F86795">
              <w:rPr>
                <w:sz w:val="26"/>
                <w:szCs w:val="26"/>
              </w:rPr>
              <w:t>0.</w:t>
            </w:r>
            <w:r>
              <w:rPr>
                <w:sz w:val="26"/>
                <w:szCs w:val="26"/>
              </w:rPr>
              <w:t>3</w:t>
            </w:r>
          </w:p>
        </w:tc>
      </w:tr>
      <w:tr w:rsidR="00C55656" w:rsidRPr="00F86795" w14:paraId="6C2A4F45" w14:textId="77777777" w:rsidTr="00C55656">
        <w:trPr>
          <w:trHeight w:hRule="exact" w:val="430"/>
        </w:trPr>
        <w:tc>
          <w:tcPr>
            <w:tcW w:w="1411" w:type="dxa"/>
            <w:vAlign w:val="center"/>
          </w:tcPr>
          <w:p w14:paraId="70CD00CA" w14:textId="40AC112B" w:rsidR="00C55656" w:rsidRPr="00F86795" w:rsidRDefault="00C55656" w:rsidP="00C55656">
            <w:pPr>
              <w:pStyle w:val="TableParagraph"/>
              <w:ind w:left="0" w:right="142"/>
              <w:rPr>
                <w:sz w:val="26"/>
                <w:szCs w:val="26"/>
              </w:rPr>
            </w:pPr>
            <w:r>
              <w:rPr>
                <w:sz w:val="26"/>
                <w:szCs w:val="26"/>
              </w:rPr>
              <w:t>2019-2020</w:t>
            </w:r>
          </w:p>
        </w:tc>
        <w:tc>
          <w:tcPr>
            <w:tcW w:w="859" w:type="dxa"/>
            <w:vAlign w:val="center"/>
          </w:tcPr>
          <w:p w14:paraId="03A42B84" w14:textId="10BEB9C3" w:rsidR="00C55656" w:rsidRPr="00F86795" w:rsidRDefault="00C55656" w:rsidP="00C55656">
            <w:pPr>
              <w:pStyle w:val="TableParagraph"/>
              <w:ind w:left="112" w:right="112"/>
              <w:jc w:val="center"/>
              <w:rPr>
                <w:sz w:val="26"/>
                <w:szCs w:val="26"/>
              </w:rPr>
            </w:pPr>
            <w:r>
              <w:rPr>
                <w:sz w:val="26"/>
                <w:szCs w:val="26"/>
              </w:rPr>
              <w:t>87</w:t>
            </w:r>
            <w:r w:rsidRPr="00F86795">
              <w:rPr>
                <w:sz w:val="26"/>
                <w:szCs w:val="26"/>
              </w:rPr>
              <w:t>.</w:t>
            </w:r>
            <w:r>
              <w:rPr>
                <w:sz w:val="26"/>
                <w:szCs w:val="26"/>
              </w:rPr>
              <w:t>2</w:t>
            </w:r>
          </w:p>
        </w:tc>
        <w:tc>
          <w:tcPr>
            <w:tcW w:w="872" w:type="dxa"/>
            <w:vAlign w:val="center"/>
          </w:tcPr>
          <w:p w14:paraId="4C260A3E" w14:textId="7D8A2E7E" w:rsidR="00C55656" w:rsidRPr="00F86795" w:rsidRDefault="00C55656" w:rsidP="00C55656">
            <w:pPr>
              <w:pStyle w:val="TableParagraph"/>
              <w:ind w:left="117" w:right="119"/>
              <w:jc w:val="center"/>
              <w:rPr>
                <w:sz w:val="26"/>
                <w:szCs w:val="26"/>
              </w:rPr>
            </w:pPr>
            <w:r w:rsidRPr="00F86795">
              <w:rPr>
                <w:sz w:val="26"/>
                <w:szCs w:val="26"/>
              </w:rPr>
              <w:t>1</w:t>
            </w:r>
            <w:r>
              <w:rPr>
                <w:sz w:val="26"/>
                <w:szCs w:val="26"/>
              </w:rPr>
              <w:t>0</w:t>
            </w:r>
            <w:r w:rsidRPr="00F86795">
              <w:rPr>
                <w:sz w:val="26"/>
                <w:szCs w:val="26"/>
              </w:rPr>
              <w:t>.</w:t>
            </w:r>
            <w:r>
              <w:rPr>
                <w:sz w:val="26"/>
                <w:szCs w:val="26"/>
              </w:rPr>
              <w:t>9</w:t>
            </w:r>
          </w:p>
        </w:tc>
        <w:tc>
          <w:tcPr>
            <w:tcW w:w="830" w:type="dxa"/>
            <w:vAlign w:val="center"/>
          </w:tcPr>
          <w:p w14:paraId="6A63DB91" w14:textId="58B6AE6B" w:rsidR="00C55656" w:rsidRPr="00F86795" w:rsidRDefault="00C55656" w:rsidP="00C55656">
            <w:pPr>
              <w:pStyle w:val="TableParagraph"/>
              <w:ind w:left="160" w:right="165"/>
              <w:jc w:val="center"/>
              <w:rPr>
                <w:sz w:val="26"/>
                <w:szCs w:val="26"/>
              </w:rPr>
            </w:pPr>
            <w:r>
              <w:rPr>
                <w:sz w:val="26"/>
                <w:szCs w:val="26"/>
              </w:rPr>
              <w:t>1.6</w:t>
            </w:r>
          </w:p>
        </w:tc>
        <w:tc>
          <w:tcPr>
            <w:tcW w:w="840" w:type="dxa"/>
            <w:vAlign w:val="center"/>
          </w:tcPr>
          <w:p w14:paraId="13EB2ADC" w14:textId="77777777" w:rsidR="00C55656" w:rsidRPr="00F86795" w:rsidRDefault="00C55656" w:rsidP="00C55656">
            <w:pPr>
              <w:pStyle w:val="TableParagraph"/>
              <w:ind w:left="167" w:right="167"/>
              <w:jc w:val="center"/>
              <w:rPr>
                <w:sz w:val="26"/>
                <w:szCs w:val="26"/>
              </w:rPr>
            </w:pPr>
            <w:r w:rsidRPr="00F86795">
              <w:rPr>
                <w:sz w:val="26"/>
                <w:szCs w:val="26"/>
              </w:rPr>
              <w:t>0.</w:t>
            </w:r>
            <w:r>
              <w:rPr>
                <w:sz w:val="26"/>
                <w:szCs w:val="26"/>
              </w:rPr>
              <w:t>3</w:t>
            </w:r>
          </w:p>
        </w:tc>
        <w:tc>
          <w:tcPr>
            <w:tcW w:w="884" w:type="dxa"/>
            <w:vAlign w:val="center"/>
          </w:tcPr>
          <w:p w14:paraId="3FD803F4" w14:textId="77777777" w:rsidR="00C55656" w:rsidRPr="00F86795" w:rsidRDefault="00C55656" w:rsidP="00C55656">
            <w:pPr>
              <w:pStyle w:val="TableParagraph"/>
              <w:ind w:left="124" w:right="124"/>
              <w:jc w:val="center"/>
              <w:rPr>
                <w:sz w:val="26"/>
                <w:szCs w:val="26"/>
              </w:rPr>
            </w:pPr>
            <w:r w:rsidRPr="00F86795">
              <w:rPr>
                <w:sz w:val="26"/>
                <w:szCs w:val="26"/>
              </w:rPr>
              <w:t>1</w:t>
            </w:r>
            <w:r>
              <w:rPr>
                <w:sz w:val="26"/>
                <w:szCs w:val="26"/>
              </w:rPr>
              <w:t>9.4</w:t>
            </w:r>
          </w:p>
        </w:tc>
        <w:tc>
          <w:tcPr>
            <w:tcW w:w="883" w:type="dxa"/>
            <w:vAlign w:val="center"/>
          </w:tcPr>
          <w:p w14:paraId="5D1C6CCC" w14:textId="776D07FA" w:rsidR="00C55656" w:rsidRPr="00F86795" w:rsidRDefault="00C55656" w:rsidP="00C55656">
            <w:pPr>
              <w:pStyle w:val="TableParagraph"/>
              <w:ind w:left="124" w:right="124"/>
              <w:jc w:val="center"/>
              <w:rPr>
                <w:sz w:val="26"/>
                <w:szCs w:val="26"/>
              </w:rPr>
            </w:pPr>
            <w:r>
              <w:rPr>
                <w:sz w:val="26"/>
                <w:szCs w:val="26"/>
              </w:rPr>
              <w:t>49.0</w:t>
            </w:r>
          </w:p>
        </w:tc>
        <w:tc>
          <w:tcPr>
            <w:tcW w:w="941" w:type="dxa"/>
            <w:vAlign w:val="center"/>
          </w:tcPr>
          <w:p w14:paraId="2686C10D" w14:textId="25DD6FB7" w:rsidR="00C55656" w:rsidRPr="00F86795" w:rsidRDefault="00C55656" w:rsidP="00C55656">
            <w:pPr>
              <w:pStyle w:val="TableParagraph"/>
              <w:ind w:left="152" w:right="154"/>
              <w:jc w:val="center"/>
              <w:rPr>
                <w:sz w:val="26"/>
                <w:szCs w:val="26"/>
              </w:rPr>
            </w:pPr>
            <w:r>
              <w:rPr>
                <w:sz w:val="26"/>
                <w:szCs w:val="26"/>
              </w:rPr>
              <w:t>28.0</w:t>
            </w:r>
          </w:p>
        </w:tc>
        <w:tc>
          <w:tcPr>
            <w:tcW w:w="979" w:type="dxa"/>
            <w:vAlign w:val="center"/>
          </w:tcPr>
          <w:p w14:paraId="1AA8DBA1" w14:textId="0F60EA17" w:rsidR="00C55656" w:rsidRPr="00F86795" w:rsidRDefault="00C55656" w:rsidP="00C55656">
            <w:pPr>
              <w:pStyle w:val="TableParagraph"/>
              <w:ind w:left="237" w:right="237"/>
              <w:jc w:val="center"/>
              <w:rPr>
                <w:sz w:val="26"/>
                <w:szCs w:val="26"/>
              </w:rPr>
            </w:pPr>
            <w:r>
              <w:rPr>
                <w:sz w:val="26"/>
                <w:szCs w:val="26"/>
              </w:rPr>
              <w:t>3.4</w:t>
            </w:r>
          </w:p>
        </w:tc>
        <w:tc>
          <w:tcPr>
            <w:tcW w:w="850" w:type="dxa"/>
            <w:vAlign w:val="center"/>
          </w:tcPr>
          <w:p w14:paraId="5AFE630A" w14:textId="0AE92D7C" w:rsidR="00C55656" w:rsidRPr="00F86795" w:rsidRDefault="00C55656" w:rsidP="00C55656">
            <w:pPr>
              <w:pStyle w:val="TableParagraph"/>
              <w:ind w:left="191"/>
              <w:jc w:val="center"/>
              <w:rPr>
                <w:sz w:val="26"/>
                <w:szCs w:val="26"/>
              </w:rPr>
            </w:pPr>
            <w:r w:rsidRPr="00F86795">
              <w:rPr>
                <w:sz w:val="26"/>
                <w:szCs w:val="26"/>
              </w:rPr>
              <w:t>0.</w:t>
            </w:r>
            <w:r>
              <w:rPr>
                <w:sz w:val="26"/>
                <w:szCs w:val="26"/>
              </w:rPr>
              <w:t>3</w:t>
            </w:r>
          </w:p>
        </w:tc>
      </w:tr>
    </w:tbl>
    <w:p w14:paraId="2E3005B3" w14:textId="77777777" w:rsidR="003A126D" w:rsidRPr="00D444A1" w:rsidRDefault="005B4B31" w:rsidP="007052ED">
      <w:pPr>
        <w:pStyle w:val="BodyText"/>
        <w:spacing w:before="120" w:after="0"/>
        <w:ind w:firstLine="709"/>
        <w:jc w:val="both"/>
        <w:rPr>
          <w:b/>
          <w:sz w:val="27"/>
          <w:szCs w:val="27"/>
          <w:highlight w:val="white"/>
          <w:lang w:val="pt-BR"/>
        </w:rPr>
      </w:pPr>
      <w:r w:rsidRPr="00D444A1">
        <w:rPr>
          <w:b/>
          <w:sz w:val="27"/>
          <w:szCs w:val="27"/>
          <w:highlight w:val="white"/>
          <w:lang w:val="pt-BR"/>
        </w:rPr>
        <w:t>II</w:t>
      </w:r>
      <w:r w:rsidR="003A126D" w:rsidRPr="00D444A1">
        <w:rPr>
          <w:b/>
          <w:sz w:val="27"/>
          <w:szCs w:val="27"/>
          <w:highlight w:val="white"/>
          <w:lang w:val="pt-BR"/>
        </w:rPr>
        <w:t>. Đánh giá chung</w:t>
      </w:r>
    </w:p>
    <w:p w14:paraId="035772C8" w14:textId="77777777" w:rsidR="00135A63" w:rsidRPr="00D444A1" w:rsidRDefault="005B4B31" w:rsidP="007052ED">
      <w:pPr>
        <w:spacing w:before="120"/>
        <w:ind w:firstLine="709"/>
        <w:jc w:val="both"/>
        <w:rPr>
          <w:b/>
          <w:sz w:val="27"/>
          <w:szCs w:val="27"/>
          <w:lang w:val="es-BO"/>
        </w:rPr>
      </w:pPr>
      <w:r w:rsidRPr="00D444A1">
        <w:rPr>
          <w:b/>
          <w:sz w:val="27"/>
          <w:szCs w:val="27"/>
          <w:lang w:val="es-BO"/>
        </w:rPr>
        <w:t xml:space="preserve">1. </w:t>
      </w:r>
      <w:r w:rsidR="00135A63" w:rsidRPr="00D444A1">
        <w:rPr>
          <w:b/>
          <w:sz w:val="27"/>
          <w:szCs w:val="27"/>
          <w:lang w:val="es-BO"/>
        </w:rPr>
        <w:t>Kết quả nổi bật:</w:t>
      </w:r>
    </w:p>
    <w:p w14:paraId="0E3CBFC3" w14:textId="66C94A1A" w:rsidR="00B77558" w:rsidRPr="00D444A1" w:rsidRDefault="00B77558" w:rsidP="009B3DE8">
      <w:pPr>
        <w:ind w:firstLine="709"/>
        <w:jc w:val="both"/>
        <w:rPr>
          <w:sz w:val="27"/>
          <w:szCs w:val="27"/>
          <w:lang w:val="es-BO"/>
        </w:rPr>
      </w:pPr>
      <w:r w:rsidRPr="00D444A1">
        <w:rPr>
          <w:sz w:val="27"/>
          <w:szCs w:val="27"/>
          <w:lang w:val="es-BO"/>
        </w:rPr>
        <w:t xml:space="preserve">- Triển khai đầy đủ, kịp thời các chỉ đạo của Bộ GDĐT về đổi mới </w:t>
      </w:r>
      <w:r w:rsidRPr="00D444A1">
        <w:rPr>
          <w:sz w:val="27"/>
          <w:szCs w:val="27"/>
        </w:rPr>
        <w:t>Chương trình Giáo dục phổ thông</w:t>
      </w:r>
      <w:r w:rsidRPr="00D444A1">
        <w:rPr>
          <w:sz w:val="27"/>
          <w:szCs w:val="27"/>
          <w:lang w:val="es-BO"/>
        </w:rPr>
        <w:t>, n</w:t>
      </w:r>
      <w:r w:rsidRPr="00D444A1">
        <w:rPr>
          <w:sz w:val="27"/>
          <w:szCs w:val="27"/>
          <w:lang w:val="vi-VN"/>
        </w:rPr>
        <w:t xml:space="preserve">âng cao năng lực của đội ngũ cán bộ quản lý và giáo viên nhằm nâng cao chất lượng giáo dục và đáp ứng yêu cầu thực hiện </w:t>
      </w:r>
      <w:r w:rsidRPr="00D444A1">
        <w:rPr>
          <w:sz w:val="27"/>
          <w:szCs w:val="27"/>
        </w:rPr>
        <w:t>Chương trình giáo dục phổ thông</w:t>
      </w:r>
      <w:r w:rsidRPr="00D444A1">
        <w:rPr>
          <w:sz w:val="27"/>
          <w:szCs w:val="27"/>
          <w:lang w:val="vi-VN"/>
        </w:rPr>
        <w:t xml:space="preserve"> </w:t>
      </w:r>
      <w:r w:rsidRPr="00D444A1">
        <w:rPr>
          <w:sz w:val="27"/>
          <w:szCs w:val="27"/>
        </w:rPr>
        <w:t xml:space="preserve">2018, </w:t>
      </w:r>
      <w:r w:rsidRPr="00D444A1">
        <w:rPr>
          <w:sz w:val="27"/>
          <w:szCs w:val="27"/>
          <w:lang w:val="es-BO"/>
        </w:rPr>
        <w:t>có sự chuyển biến lớn trong nhận thức và hành động đội ngũ cán bộ quản lý và giáo viên toàn ngành.</w:t>
      </w:r>
    </w:p>
    <w:p w14:paraId="0B600E5D" w14:textId="77777777" w:rsidR="00245F0E" w:rsidRPr="00D444A1" w:rsidRDefault="00245F0E" w:rsidP="009B3DE8">
      <w:pPr>
        <w:ind w:firstLine="720"/>
        <w:jc w:val="both"/>
        <w:rPr>
          <w:sz w:val="27"/>
          <w:szCs w:val="27"/>
          <w:lang w:val="es-BO"/>
        </w:rPr>
      </w:pPr>
      <w:r w:rsidRPr="00D444A1">
        <w:rPr>
          <w:sz w:val="27"/>
          <w:szCs w:val="27"/>
          <w:lang w:val="es-BO"/>
        </w:rPr>
        <w:t xml:space="preserve">- </w:t>
      </w:r>
      <w:r w:rsidR="00D540C2" w:rsidRPr="00D444A1">
        <w:rPr>
          <w:sz w:val="27"/>
          <w:szCs w:val="27"/>
          <w:lang w:val="es-BO"/>
        </w:rPr>
        <w:t>Thực hiện việc</w:t>
      </w:r>
      <w:r w:rsidRPr="00D444A1">
        <w:rPr>
          <w:sz w:val="27"/>
          <w:szCs w:val="27"/>
          <w:lang w:val="es-BO"/>
        </w:rPr>
        <w:t xml:space="preserve"> đổi mới, nâng cao hiệu lực và hiệu quả công tác quản lý đối với các cơ sở GDTrH theo hướng tăng cường phân cấp quản lý, thực hiện quyền tự chủ của nhà trường trong việc thực hiện kế hoạch, chương trình giáo dục đi đôi với việc nâng cao năng lực quản trị nhà trường. </w:t>
      </w:r>
    </w:p>
    <w:p w14:paraId="7F13C2EC" w14:textId="1589D7F3" w:rsidR="00135A63" w:rsidRPr="00D444A1" w:rsidRDefault="00135A63" w:rsidP="009B3DE8">
      <w:pPr>
        <w:ind w:firstLine="720"/>
        <w:jc w:val="both"/>
        <w:rPr>
          <w:sz w:val="27"/>
          <w:szCs w:val="27"/>
          <w:lang w:val="es-BO"/>
        </w:rPr>
      </w:pPr>
      <w:r w:rsidRPr="00D444A1">
        <w:rPr>
          <w:sz w:val="27"/>
          <w:szCs w:val="27"/>
          <w:lang w:val="es-BO"/>
        </w:rPr>
        <w:t xml:space="preserve">- </w:t>
      </w:r>
      <w:r w:rsidR="00230490" w:rsidRPr="00D444A1">
        <w:rPr>
          <w:sz w:val="27"/>
          <w:szCs w:val="27"/>
          <w:lang w:val="es-BO"/>
        </w:rPr>
        <w:t xml:space="preserve">Triển khai </w:t>
      </w:r>
      <w:r w:rsidR="007E1A80" w:rsidRPr="00D444A1">
        <w:rPr>
          <w:sz w:val="27"/>
          <w:szCs w:val="27"/>
          <w:lang w:val="es-BO"/>
        </w:rPr>
        <w:t>đổi mới phương pháp dạy học,</w:t>
      </w:r>
      <w:r w:rsidR="00230490" w:rsidRPr="00D444A1">
        <w:rPr>
          <w:sz w:val="27"/>
          <w:szCs w:val="27"/>
          <w:lang w:val="es-BO"/>
        </w:rPr>
        <w:t xml:space="preserve"> đ</w:t>
      </w:r>
      <w:r w:rsidRPr="00D444A1">
        <w:rPr>
          <w:sz w:val="27"/>
          <w:szCs w:val="27"/>
          <w:lang w:val="es-BO"/>
        </w:rPr>
        <w:t>ổi mới kiểm tra đánh giá</w:t>
      </w:r>
      <w:r w:rsidR="00230490" w:rsidRPr="00D444A1">
        <w:rPr>
          <w:sz w:val="27"/>
          <w:szCs w:val="27"/>
          <w:lang w:val="es-BO"/>
        </w:rPr>
        <w:t xml:space="preserve"> </w:t>
      </w:r>
      <w:r w:rsidR="004F01DF" w:rsidRPr="00D444A1">
        <w:rPr>
          <w:sz w:val="27"/>
          <w:szCs w:val="27"/>
          <w:lang w:val="es-BO"/>
        </w:rPr>
        <w:t>theo hướ</w:t>
      </w:r>
      <w:r w:rsidR="00230490" w:rsidRPr="00D444A1">
        <w:rPr>
          <w:sz w:val="27"/>
          <w:szCs w:val="27"/>
          <w:lang w:val="es-BO"/>
        </w:rPr>
        <w:t>ng phát triển năng lực người học</w:t>
      </w:r>
      <w:r w:rsidR="004F01DF" w:rsidRPr="00D444A1">
        <w:rPr>
          <w:sz w:val="27"/>
          <w:szCs w:val="27"/>
          <w:lang w:val="es-BO"/>
        </w:rPr>
        <w:t xml:space="preserve"> </w:t>
      </w:r>
      <w:r w:rsidR="00230490" w:rsidRPr="00D444A1">
        <w:rPr>
          <w:sz w:val="27"/>
          <w:szCs w:val="27"/>
          <w:lang w:val="es-BO"/>
        </w:rPr>
        <w:t xml:space="preserve">đúng theo </w:t>
      </w:r>
      <w:r w:rsidR="005E470B" w:rsidRPr="00D444A1">
        <w:rPr>
          <w:sz w:val="27"/>
          <w:szCs w:val="27"/>
          <w:lang w:val="es-BO"/>
        </w:rPr>
        <w:t xml:space="preserve">tinh thần </w:t>
      </w:r>
      <w:r w:rsidR="00230490" w:rsidRPr="00D444A1">
        <w:rPr>
          <w:sz w:val="27"/>
          <w:szCs w:val="27"/>
          <w:lang w:val="es-BO"/>
        </w:rPr>
        <w:t xml:space="preserve">chỉ đạo của Bộ </w:t>
      </w:r>
      <w:r w:rsidR="00210A60" w:rsidRPr="00D444A1">
        <w:rPr>
          <w:sz w:val="27"/>
          <w:szCs w:val="27"/>
          <w:lang w:val="es-BO"/>
        </w:rPr>
        <w:t>GDĐT</w:t>
      </w:r>
      <w:r w:rsidR="004F01DF" w:rsidRPr="00D444A1">
        <w:rPr>
          <w:sz w:val="27"/>
          <w:szCs w:val="27"/>
          <w:lang w:val="es-BO"/>
        </w:rPr>
        <w:t>.</w:t>
      </w:r>
      <w:r w:rsidR="004D2A88" w:rsidRPr="00D444A1">
        <w:rPr>
          <w:sz w:val="27"/>
          <w:szCs w:val="27"/>
          <w:lang w:val="es-BO"/>
        </w:rPr>
        <w:t xml:space="preserve"> Tỷ </w:t>
      </w:r>
      <w:r w:rsidR="004D2A88" w:rsidRPr="00D444A1">
        <w:rPr>
          <w:sz w:val="27"/>
          <w:szCs w:val="27"/>
          <w:lang w:val="es-BO"/>
        </w:rPr>
        <w:lastRenderedPageBreak/>
        <w:t xml:space="preserve">lệ tốt nghiệp THPT được duy trì, </w:t>
      </w:r>
      <w:r w:rsidR="00D21AC0" w:rsidRPr="00D444A1">
        <w:rPr>
          <w:sz w:val="27"/>
          <w:szCs w:val="27"/>
          <w:lang w:val="es-BO"/>
        </w:rPr>
        <w:t xml:space="preserve">khá </w:t>
      </w:r>
      <w:r w:rsidR="004D2A88" w:rsidRPr="00D444A1">
        <w:rPr>
          <w:sz w:val="27"/>
          <w:szCs w:val="27"/>
          <w:lang w:val="es-BO"/>
        </w:rPr>
        <w:t>ổn định ở các trường. Số lượng, chất lượng giải học sinh giỏi cấp tỉnh</w:t>
      </w:r>
      <w:r w:rsidR="00D30738" w:rsidRPr="00D444A1">
        <w:rPr>
          <w:sz w:val="27"/>
          <w:szCs w:val="27"/>
          <w:lang w:val="es-BO"/>
        </w:rPr>
        <w:t xml:space="preserve">, quốc gia </w:t>
      </w:r>
      <w:r w:rsidR="004D2A88" w:rsidRPr="00D444A1">
        <w:rPr>
          <w:sz w:val="27"/>
          <w:szCs w:val="27"/>
          <w:lang w:val="es-BO"/>
        </w:rPr>
        <w:t xml:space="preserve"> được giữ v</w:t>
      </w:r>
      <w:r w:rsidR="00D30738" w:rsidRPr="00D444A1">
        <w:rPr>
          <w:sz w:val="27"/>
          <w:szCs w:val="27"/>
          <w:lang w:val="es-BO"/>
        </w:rPr>
        <w:t>ững</w:t>
      </w:r>
      <w:r w:rsidR="009F4C6E" w:rsidRPr="00D444A1">
        <w:rPr>
          <w:sz w:val="27"/>
          <w:szCs w:val="27"/>
          <w:lang w:val="es-BO"/>
        </w:rPr>
        <w:t xml:space="preserve"> và nâng cao</w:t>
      </w:r>
      <w:r w:rsidR="00D30738" w:rsidRPr="00D444A1">
        <w:rPr>
          <w:sz w:val="27"/>
          <w:szCs w:val="27"/>
          <w:lang w:val="es-BO"/>
        </w:rPr>
        <w:t>.</w:t>
      </w:r>
    </w:p>
    <w:p w14:paraId="72F4D686" w14:textId="77777777" w:rsidR="00B77558" w:rsidRPr="00D444A1" w:rsidRDefault="00B77558" w:rsidP="009B3DE8">
      <w:pPr>
        <w:ind w:firstLine="709"/>
        <w:jc w:val="both"/>
        <w:rPr>
          <w:sz w:val="27"/>
          <w:szCs w:val="27"/>
          <w:lang w:val="es-BO"/>
        </w:rPr>
      </w:pPr>
      <w:r w:rsidRPr="00D444A1">
        <w:rPr>
          <w:sz w:val="27"/>
          <w:szCs w:val="27"/>
          <w:lang w:val="es-BO"/>
        </w:rPr>
        <w:t>- Việc triển khai đổi mới công tác tổ chức và quản lý sinh hoạt chuyên môn trường trung học phổ thông có chuyển biến rõ rệt, làm cơ sở chuẩn bị cho việc thực hiện đổi mới chương trình, sách giáo khoa theo Nghị quyết số 88/2014/QH13 ngày 28/11/2014 của Quốc hội về đổi mới chương trình, sách giáo khoa giáo dục phổ thông và Quyết định 404/QĐ-TTg ngày 27/3/2015 của Thủ tướng về phê duyệt đề án đổi mới chương trình, sách giáo khoa giáo dục phổ thông.</w:t>
      </w:r>
    </w:p>
    <w:p w14:paraId="458FD573" w14:textId="77777777" w:rsidR="00135A63" w:rsidRPr="00D444A1" w:rsidRDefault="00135A63" w:rsidP="009B3DE8">
      <w:pPr>
        <w:ind w:firstLine="720"/>
        <w:jc w:val="both"/>
        <w:rPr>
          <w:sz w:val="27"/>
          <w:szCs w:val="27"/>
          <w:lang w:val="es-BO"/>
        </w:rPr>
      </w:pPr>
      <w:r w:rsidRPr="00D444A1">
        <w:rPr>
          <w:sz w:val="27"/>
          <w:szCs w:val="27"/>
          <w:lang w:val="es-BO"/>
        </w:rPr>
        <w:t xml:space="preserve">- Hệ thống trường </w:t>
      </w:r>
      <w:r w:rsidR="00D21AC0" w:rsidRPr="00D444A1">
        <w:rPr>
          <w:sz w:val="27"/>
          <w:szCs w:val="27"/>
          <w:lang w:val="es-BO"/>
        </w:rPr>
        <w:t xml:space="preserve">trung học đạt chuẩn quốc gia tăng, cải thiện tốt thứ hạng trường đạt chuẩn của GDTrH trong các tỉnh Bắc Trung </w:t>
      </w:r>
      <w:r w:rsidR="004D0C92" w:rsidRPr="00D444A1">
        <w:rPr>
          <w:sz w:val="27"/>
          <w:szCs w:val="27"/>
          <w:lang w:val="es-BO"/>
        </w:rPr>
        <w:t>B</w:t>
      </w:r>
      <w:r w:rsidR="00D21AC0" w:rsidRPr="00D444A1">
        <w:rPr>
          <w:sz w:val="27"/>
          <w:szCs w:val="27"/>
          <w:lang w:val="es-BO"/>
        </w:rPr>
        <w:t>ộ</w:t>
      </w:r>
      <w:r w:rsidRPr="00D444A1">
        <w:rPr>
          <w:sz w:val="27"/>
          <w:szCs w:val="27"/>
          <w:lang w:val="es-BO"/>
        </w:rPr>
        <w:t>. Số lượng và chất lượng học sinh học 2 buổi/ngày tăng, thư viện đạt chuẩn tăng so với năm học trước.</w:t>
      </w:r>
    </w:p>
    <w:p w14:paraId="39FC7BF0" w14:textId="77777777" w:rsidR="008E07AD" w:rsidRPr="00D444A1" w:rsidRDefault="008E07AD" w:rsidP="009B3DE8">
      <w:pPr>
        <w:ind w:firstLine="720"/>
        <w:jc w:val="both"/>
        <w:rPr>
          <w:sz w:val="27"/>
          <w:szCs w:val="27"/>
          <w:lang w:val="es-BO"/>
        </w:rPr>
      </w:pPr>
      <w:r w:rsidRPr="00D444A1">
        <w:rPr>
          <w:sz w:val="27"/>
          <w:szCs w:val="27"/>
          <w:lang w:val="es-BO"/>
        </w:rPr>
        <w:t>- Vi</w:t>
      </w:r>
      <w:r w:rsidR="00DA2664" w:rsidRPr="00D444A1">
        <w:rPr>
          <w:sz w:val="27"/>
          <w:szCs w:val="27"/>
          <w:lang w:val="es-BO"/>
        </w:rPr>
        <w:t>ệ</w:t>
      </w:r>
      <w:r w:rsidRPr="00D444A1">
        <w:rPr>
          <w:sz w:val="27"/>
          <w:szCs w:val="27"/>
          <w:lang w:val="es-BO"/>
        </w:rPr>
        <w:t xml:space="preserve">c </w:t>
      </w:r>
      <w:r w:rsidR="00267239" w:rsidRPr="00D444A1">
        <w:rPr>
          <w:sz w:val="27"/>
          <w:szCs w:val="27"/>
          <w:lang w:val="es-BO"/>
        </w:rPr>
        <w:t>thực hiện</w:t>
      </w:r>
      <w:r w:rsidRPr="00D444A1">
        <w:rPr>
          <w:sz w:val="27"/>
          <w:szCs w:val="27"/>
          <w:lang w:val="es-BO"/>
        </w:rPr>
        <w:t xml:space="preserve"> Đề án </w:t>
      </w:r>
      <w:r w:rsidR="00267239" w:rsidRPr="00D444A1">
        <w:rPr>
          <w:sz w:val="27"/>
          <w:szCs w:val="27"/>
          <w:lang w:val="es-BO"/>
        </w:rPr>
        <w:t>“</w:t>
      </w:r>
      <w:r w:rsidRPr="00D444A1">
        <w:rPr>
          <w:sz w:val="27"/>
          <w:szCs w:val="27"/>
          <w:lang w:val="es-BO"/>
        </w:rPr>
        <w:t>Dạy và học ngoại ngữ trong hệ thống giáo dục quốc dân</w:t>
      </w:r>
      <w:r w:rsidR="00267239" w:rsidRPr="00D444A1">
        <w:rPr>
          <w:sz w:val="27"/>
          <w:szCs w:val="27"/>
          <w:lang w:val="es-BO"/>
        </w:rPr>
        <w:t>”</w:t>
      </w:r>
      <w:r w:rsidRPr="00D444A1">
        <w:rPr>
          <w:sz w:val="27"/>
          <w:szCs w:val="27"/>
          <w:lang w:val="es-BO"/>
        </w:rPr>
        <w:t xml:space="preserve"> góp phần nâng cao nâng cao chất lượng dạy học. Tổ chức tốt việc dạy học thí điểm chương trình Tiếng Anh. Công tác bồi dưỡng giáo viên Tiếng Anh theo khung chuẩn năng lực ngôn ngữ Châu Âu th</w:t>
      </w:r>
      <w:r w:rsidR="00AE17EE" w:rsidRPr="00D444A1">
        <w:rPr>
          <w:sz w:val="27"/>
          <w:szCs w:val="27"/>
          <w:lang w:val="es-BO"/>
        </w:rPr>
        <w:t>ực hiện đúng tiến độ đề ra</w:t>
      </w:r>
      <w:r w:rsidRPr="00D444A1">
        <w:rPr>
          <w:sz w:val="27"/>
          <w:szCs w:val="27"/>
          <w:lang w:val="es-BO"/>
        </w:rPr>
        <w:t>.</w:t>
      </w:r>
    </w:p>
    <w:p w14:paraId="262B73E4" w14:textId="77777777" w:rsidR="00135A63" w:rsidRPr="00D444A1" w:rsidRDefault="00135A63" w:rsidP="009B3DE8">
      <w:pPr>
        <w:ind w:firstLine="720"/>
        <w:jc w:val="both"/>
        <w:rPr>
          <w:sz w:val="27"/>
          <w:szCs w:val="27"/>
          <w:lang w:val="es-BO"/>
        </w:rPr>
      </w:pPr>
      <w:r w:rsidRPr="00D444A1">
        <w:rPr>
          <w:sz w:val="27"/>
          <w:szCs w:val="27"/>
          <w:lang w:val="es-BO"/>
        </w:rPr>
        <w:t>- Các quy định, quy chế được các trường trung học thực hiện nghiêm túc.</w:t>
      </w:r>
    </w:p>
    <w:p w14:paraId="6C09B32A" w14:textId="77777777" w:rsidR="00135A63" w:rsidRPr="00D444A1" w:rsidRDefault="005B4B31" w:rsidP="007052ED">
      <w:pPr>
        <w:spacing w:before="120"/>
        <w:ind w:firstLine="709"/>
        <w:jc w:val="both"/>
        <w:rPr>
          <w:b/>
          <w:sz w:val="27"/>
          <w:szCs w:val="27"/>
          <w:lang w:val="es-BO"/>
        </w:rPr>
      </w:pPr>
      <w:r w:rsidRPr="00D444A1">
        <w:rPr>
          <w:b/>
          <w:sz w:val="27"/>
          <w:szCs w:val="27"/>
          <w:lang w:val="es-BO"/>
        </w:rPr>
        <w:t xml:space="preserve">2. </w:t>
      </w:r>
      <w:r w:rsidR="00135A63" w:rsidRPr="00D444A1">
        <w:rPr>
          <w:b/>
          <w:sz w:val="27"/>
          <w:szCs w:val="27"/>
          <w:lang w:val="es-BO"/>
        </w:rPr>
        <w:t>Một số hạn chế:</w:t>
      </w:r>
    </w:p>
    <w:p w14:paraId="4B2B3B15" w14:textId="6DE0921F" w:rsidR="00070B47" w:rsidRPr="00D444A1" w:rsidRDefault="00070B47" w:rsidP="009B3DE8">
      <w:pPr>
        <w:ind w:firstLine="720"/>
        <w:jc w:val="both"/>
        <w:rPr>
          <w:sz w:val="27"/>
          <w:szCs w:val="27"/>
          <w:lang w:val="es-BO"/>
        </w:rPr>
      </w:pPr>
      <w:r w:rsidRPr="00D444A1">
        <w:rPr>
          <w:sz w:val="27"/>
          <w:szCs w:val="27"/>
          <w:lang w:val="es-BO"/>
        </w:rPr>
        <w:t xml:space="preserve">- Mặc dù các trường có nhiều cố gắng trong công tác dạy học và triển khai nhiều biện pháp ôn thi THPT quốc gia nhưng phổ điểm </w:t>
      </w:r>
      <w:r w:rsidR="00A7369C">
        <w:rPr>
          <w:sz w:val="27"/>
          <w:szCs w:val="27"/>
          <w:lang w:val="es-BO"/>
        </w:rPr>
        <w:t>các</w:t>
      </w:r>
      <w:r w:rsidRPr="00D444A1">
        <w:rPr>
          <w:sz w:val="27"/>
          <w:szCs w:val="27"/>
          <w:lang w:val="es-BO"/>
        </w:rPr>
        <w:t xml:space="preserve"> môn Lịch sử</w:t>
      </w:r>
      <w:r w:rsidR="00B77558" w:rsidRPr="00D444A1">
        <w:rPr>
          <w:sz w:val="27"/>
          <w:szCs w:val="27"/>
          <w:lang w:val="es-BO"/>
        </w:rPr>
        <w:t>, Địa lý, GDCD</w:t>
      </w:r>
      <w:r w:rsidRPr="00D444A1">
        <w:rPr>
          <w:sz w:val="27"/>
          <w:szCs w:val="27"/>
          <w:lang w:val="es-BO"/>
        </w:rPr>
        <w:t xml:space="preserve"> và Tiếng Anh vẫn còn thấp, tỉ lệ tốt nghiệp vẫn còn thấp hơn tỉ lệ bình quân của toàn quốc.</w:t>
      </w:r>
    </w:p>
    <w:p w14:paraId="548672F6" w14:textId="77777777" w:rsidR="00135A63" w:rsidRPr="00D444A1" w:rsidRDefault="00135A63" w:rsidP="009B3DE8">
      <w:pPr>
        <w:ind w:firstLine="720"/>
        <w:jc w:val="both"/>
        <w:rPr>
          <w:i/>
          <w:sz w:val="27"/>
          <w:szCs w:val="27"/>
          <w:lang w:val="es-BO"/>
        </w:rPr>
      </w:pPr>
      <w:r w:rsidRPr="00D444A1">
        <w:rPr>
          <w:sz w:val="27"/>
          <w:szCs w:val="27"/>
          <w:lang w:val="es-BO"/>
        </w:rPr>
        <w:t xml:space="preserve">- Chất lượng giáo dục văn hóa giữa các vùng miền trên địa bàn tỉnh ngày càng được rút ngắn, tuy nhiên tỷ lệ học sinh yếu, tỷ lệ học sinh bỏ học ở các vùng kinh tế khó khăn, vùng sâu, vùng xa vẫn còn </w:t>
      </w:r>
      <w:r w:rsidR="00AA0706" w:rsidRPr="00D444A1">
        <w:rPr>
          <w:sz w:val="27"/>
          <w:szCs w:val="27"/>
          <w:lang w:val="es-BO"/>
        </w:rPr>
        <w:t>phải phấn đấu để đạt chỉ tiêu đặt ra</w:t>
      </w:r>
      <w:r w:rsidRPr="00D444A1">
        <w:rPr>
          <w:sz w:val="27"/>
          <w:szCs w:val="27"/>
          <w:lang w:val="es-BO"/>
        </w:rPr>
        <w:t xml:space="preserve">. </w:t>
      </w:r>
    </w:p>
    <w:p w14:paraId="44F53B82" w14:textId="77777777" w:rsidR="00B47B40" w:rsidRPr="00D444A1" w:rsidRDefault="00135A63" w:rsidP="009B3DE8">
      <w:pPr>
        <w:ind w:firstLine="720"/>
        <w:jc w:val="both"/>
        <w:rPr>
          <w:sz w:val="27"/>
          <w:szCs w:val="27"/>
          <w:lang w:val="es-BO"/>
        </w:rPr>
      </w:pPr>
      <w:r w:rsidRPr="00D444A1">
        <w:rPr>
          <w:sz w:val="27"/>
          <w:szCs w:val="27"/>
          <w:lang w:val="es-BO"/>
        </w:rPr>
        <w:t>- Mặc dù đã có đầu tư kinh phí để tăng cường cơ sở vật chất, thiết bị. Tuy nhiên, nhìn chung cơ sở vật chất, thiết bị, điều kiện dạy và học vẫn còn nhiều khó khăn, thiếu phòng học để huy động, đẩy mạnh tỷ lệ học 2 buổi/ngày</w:t>
      </w:r>
      <w:r w:rsidR="00660B5C" w:rsidRPr="00D444A1">
        <w:rPr>
          <w:sz w:val="27"/>
          <w:szCs w:val="27"/>
          <w:lang w:val="es-BO"/>
        </w:rPr>
        <w:t xml:space="preserve"> đối với cấp THPT</w:t>
      </w:r>
      <w:r w:rsidRPr="00D444A1">
        <w:rPr>
          <w:sz w:val="27"/>
          <w:szCs w:val="27"/>
          <w:lang w:val="es-BO"/>
        </w:rPr>
        <w:t>, thiếu phòng chức năng, nhà đa năng, sân</w:t>
      </w:r>
      <w:r w:rsidR="004763F1" w:rsidRPr="00D444A1">
        <w:rPr>
          <w:sz w:val="27"/>
          <w:szCs w:val="27"/>
          <w:lang w:val="es-BO"/>
        </w:rPr>
        <w:t xml:space="preserve"> chơi</w:t>
      </w:r>
      <w:r w:rsidRPr="00D444A1">
        <w:rPr>
          <w:sz w:val="27"/>
          <w:szCs w:val="27"/>
          <w:lang w:val="es-BO"/>
        </w:rPr>
        <w:t xml:space="preserve"> bãi tập</w:t>
      </w:r>
      <w:r w:rsidR="00070B47" w:rsidRPr="00D444A1">
        <w:rPr>
          <w:sz w:val="27"/>
          <w:szCs w:val="27"/>
          <w:lang w:val="es-BO"/>
        </w:rPr>
        <w:t>.</w:t>
      </w:r>
    </w:p>
    <w:p w14:paraId="0EF8B289" w14:textId="77777777" w:rsidR="00A66F28" w:rsidRPr="00876B6F" w:rsidRDefault="00A66F28" w:rsidP="00260D68">
      <w:pPr>
        <w:tabs>
          <w:tab w:val="center" w:pos="6521"/>
        </w:tabs>
        <w:spacing w:before="240"/>
        <w:ind w:firstLine="567"/>
        <w:jc w:val="both"/>
        <w:rPr>
          <w:sz w:val="27"/>
          <w:szCs w:val="27"/>
          <w:lang w:val="de-DE"/>
        </w:rPr>
      </w:pPr>
      <w:r w:rsidRPr="00051E53">
        <w:rPr>
          <w:b/>
          <w:i/>
          <w:szCs w:val="26"/>
          <w:lang w:val="de-DE"/>
        </w:rPr>
        <w:tab/>
      </w:r>
      <w:r w:rsidRPr="00876B6F">
        <w:rPr>
          <w:b/>
          <w:sz w:val="27"/>
          <w:szCs w:val="27"/>
          <w:lang w:val="de-DE"/>
        </w:rPr>
        <w:t xml:space="preserve">KT. GIÁM ĐỐC </w:t>
      </w:r>
    </w:p>
    <w:p w14:paraId="75E5F01B" w14:textId="77777777" w:rsidR="00A66F28" w:rsidRDefault="00A66F28">
      <w:pPr>
        <w:rPr>
          <w:sz w:val="22"/>
          <w:szCs w:val="22"/>
          <w:lang w:val="de-DE"/>
        </w:rPr>
      </w:pPr>
      <w:r w:rsidRPr="00F75500">
        <w:rPr>
          <w:b/>
          <w:i/>
          <w:sz w:val="22"/>
          <w:szCs w:val="22"/>
          <w:lang w:val="de-DE"/>
        </w:rPr>
        <w:t>Nơi nhận:</w:t>
      </w:r>
      <w:r>
        <w:rPr>
          <w:b/>
          <w:i/>
          <w:sz w:val="22"/>
          <w:szCs w:val="22"/>
          <w:lang w:val="de-DE"/>
        </w:rPr>
        <w:t xml:space="preserve">                                     </w:t>
      </w:r>
      <w:r>
        <w:rPr>
          <w:b/>
          <w:sz w:val="22"/>
          <w:szCs w:val="22"/>
          <w:lang w:val="de-DE"/>
        </w:rPr>
        <w:t xml:space="preserve">                                            </w:t>
      </w:r>
      <w:r w:rsidR="005B4B31">
        <w:rPr>
          <w:b/>
          <w:sz w:val="22"/>
          <w:szCs w:val="22"/>
          <w:lang w:val="de-DE"/>
        </w:rPr>
        <w:t xml:space="preserve"> </w:t>
      </w:r>
      <w:r w:rsidRPr="00876B6F">
        <w:rPr>
          <w:b/>
          <w:sz w:val="27"/>
          <w:szCs w:val="27"/>
          <w:lang w:val="de-DE"/>
        </w:rPr>
        <w:t>PHÓ GIÁM ĐỐC</w:t>
      </w:r>
      <w:r>
        <w:rPr>
          <w:b/>
          <w:sz w:val="22"/>
          <w:szCs w:val="22"/>
          <w:lang w:val="de-DE"/>
        </w:rPr>
        <w:t xml:space="preserve"> </w:t>
      </w:r>
    </w:p>
    <w:p w14:paraId="113940CF" w14:textId="1238412E" w:rsidR="00A66F28" w:rsidRDefault="00A66F28" w:rsidP="000418A0">
      <w:pPr>
        <w:tabs>
          <w:tab w:val="center" w:pos="6521"/>
        </w:tabs>
        <w:rPr>
          <w:sz w:val="22"/>
          <w:szCs w:val="22"/>
          <w:lang w:val="de-DE"/>
        </w:rPr>
      </w:pPr>
      <w:r w:rsidRPr="00F75500">
        <w:rPr>
          <w:sz w:val="22"/>
          <w:szCs w:val="22"/>
          <w:lang w:val="de-DE"/>
        </w:rPr>
        <w:t xml:space="preserve">- </w:t>
      </w:r>
      <w:r w:rsidR="00C32454">
        <w:rPr>
          <w:sz w:val="22"/>
          <w:szCs w:val="22"/>
          <w:lang w:val="de-DE"/>
        </w:rPr>
        <w:t xml:space="preserve">Ban </w:t>
      </w:r>
      <w:r w:rsidR="009A2E67">
        <w:rPr>
          <w:sz w:val="22"/>
          <w:szCs w:val="22"/>
          <w:lang w:val="de-DE"/>
        </w:rPr>
        <w:t>GĐ</w:t>
      </w:r>
      <w:r w:rsidRPr="00F75500">
        <w:rPr>
          <w:sz w:val="22"/>
          <w:szCs w:val="22"/>
          <w:lang w:val="de-DE"/>
        </w:rPr>
        <w:t xml:space="preserve">; </w:t>
      </w:r>
      <w:r w:rsidR="000418A0">
        <w:rPr>
          <w:sz w:val="22"/>
          <w:szCs w:val="22"/>
          <w:lang w:val="de-DE"/>
        </w:rPr>
        <w:tab/>
      </w:r>
    </w:p>
    <w:p w14:paraId="5C78088F" w14:textId="77777777" w:rsidR="009A2E67" w:rsidRDefault="009A2E67">
      <w:pPr>
        <w:rPr>
          <w:sz w:val="22"/>
          <w:szCs w:val="22"/>
          <w:lang w:val="de-DE"/>
        </w:rPr>
      </w:pPr>
      <w:r>
        <w:rPr>
          <w:sz w:val="22"/>
          <w:szCs w:val="22"/>
          <w:lang w:val="de-DE"/>
        </w:rPr>
        <w:t>- Các Phòng GDĐT;</w:t>
      </w:r>
    </w:p>
    <w:p w14:paraId="03ED3B1B" w14:textId="77777777" w:rsidR="009A2E67" w:rsidRPr="00F75500" w:rsidRDefault="009A2E67">
      <w:pPr>
        <w:rPr>
          <w:b/>
          <w:sz w:val="22"/>
          <w:szCs w:val="22"/>
          <w:lang w:val="de-DE"/>
        </w:rPr>
      </w:pPr>
      <w:r>
        <w:rPr>
          <w:sz w:val="22"/>
          <w:szCs w:val="22"/>
          <w:lang w:val="de-DE"/>
        </w:rPr>
        <w:t>- Các trường Trung học trực thuộc:</w:t>
      </w:r>
    </w:p>
    <w:p w14:paraId="3F013687" w14:textId="77777777" w:rsidR="00A66F28" w:rsidRPr="00F75500" w:rsidRDefault="00A66F28">
      <w:pPr>
        <w:rPr>
          <w:sz w:val="22"/>
          <w:szCs w:val="22"/>
          <w:lang w:val="de-DE"/>
        </w:rPr>
      </w:pPr>
      <w:r>
        <w:rPr>
          <w:sz w:val="22"/>
          <w:szCs w:val="22"/>
          <w:lang w:val="de-DE"/>
        </w:rPr>
        <w:t>-  Lưu: VT, GDTrH.</w:t>
      </w:r>
    </w:p>
    <w:p w14:paraId="2C95A9F8" w14:textId="77777777" w:rsidR="00A66F28" w:rsidRDefault="00A66F28">
      <w:pPr>
        <w:tabs>
          <w:tab w:val="center" w:pos="6521"/>
        </w:tabs>
        <w:jc w:val="both"/>
        <w:rPr>
          <w:sz w:val="26"/>
          <w:szCs w:val="26"/>
          <w:lang w:val="de-DE"/>
        </w:rPr>
      </w:pPr>
    </w:p>
    <w:p w14:paraId="04A6492B" w14:textId="77777777" w:rsidR="00A66F28" w:rsidRDefault="00A66F28">
      <w:pPr>
        <w:tabs>
          <w:tab w:val="center" w:pos="6521"/>
        </w:tabs>
        <w:jc w:val="both"/>
        <w:rPr>
          <w:sz w:val="26"/>
          <w:szCs w:val="26"/>
          <w:lang w:val="de-DE"/>
        </w:rPr>
      </w:pPr>
    </w:p>
    <w:p w14:paraId="7A51A154" w14:textId="77777777" w:rsidR="00A66F28" w:rsidRDefault="00A66F28">
      <w:pPr>
        <w:tabs>
          <w:tab w:val="center" w:pos="6521"/>
        </w:tabs>
        <w:jc w:val="both"/>
        <w:rPr>
          <w:sz w:val="26"/>
          <w:szCs w:val="26"/>
          <w:lang w:val="de-DE"/>
        </w:rPr>
      </w:pPr>
    </w:p>
    <w:p w14:paraId="28A701E3" w14:textId="77777777" w:rsidR="00A66F28" w:rsidRPr="004D1EE0" w:rsidRDefault="00A66F28">
      <w:pPr>
        <w:tabs>
          <w:tab w:val="center" w:pos="6521"/>
        </w:tabs>
        <w:jc w:val="both"/>
        <w:rPr>
          <w:sz w:val="26"/>
          <w:szCs w:val="26"/>
          <w:lang w:val="de-DE"/>
        </w:rPr>
      </w:pPr>
    </w:p>
    <w:p w14:paraId="2A002A5F" w14:textId="5A52E1A8" w:rsidR="00A66F28" w:rsidRDefault="00A66F28" w:rsidP="00C56A40">
      <w:pPr>
        <w:tabs>
          <w:tab w:val="center" w:pos="6521"/>
        </w:tabs>
        <w:ind w:firstLine="567"/>
        <w:jc w:val="both"/>
        <w:rPr>
          <w:b/>
          <w:sz w:val="27"/>
          <w:szCs w:val="27"/>
          <w:lang w:val="de-DE"/>
        </w:rPr>
      </w:pPr>
      <w:r w:rsidRPr="00D336AB">
        <w:rPr>
          <w:b/>
          <w:sz w:val="26"/>
          <w:szCs w:val="26"/>
          <w:lang w:val="de-DE"/>
        </w:rPr>
        <w:tab/>
      </w:r>
      <w:r w:rsidR="00500455" w:rsidRPr="00876B6F">
        <w:rPr>
          <w:b/>
          <w:sz w:val="27"/>
          <w:szCs w:val="27"/>
          <w:lang w:val="de-DE"/>
        </w:rPr>
        <w:t>Đặng Phước Mỹ</w:t>
      </w:r>
    </w:p>
    <w:p w14:paraId="38A7C046" w14:textId="6EFB7044" w:rsidR="004355D1" w:rsidRDefault="004355D1">
      <w:pPr>
        <w:rPr>
          <w:b/>
          <w:sz w:val="27"/>
          <w:szCs w:val="27"/>
          <w:lang w:val="de-DE"/>
        </w:rPr>
      </w:pPr>
    </w:p>
    <w:sectPr w:rsidR="004355D1" w:rsidSect="00B77558">
      <w:headerReference w:type="default" r:id="rId7"/>
      <w:pgSz w:w="11907" w:h="16840" w:code="9"/>
      <w:pgMar w:top="1134" w:right="1134" w:bottom="1134" w:left="1701" w:header="720" w:footer="380"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D64CE8E" w14:textId="77777777" w:rsidR="007B47A9" w:rsidRDefault="007B47A9">
      <w:r>
        <w:separator/>
      </w:r>
    </w:p>
  </w:endnote>
  <w:endnote w:type="continuationSeparator" w:id="0">
    <w:p w14:paraId="48B36D22" w14:textId="77777777" w:rsidR="007B47A9" w:rsidRDefault="007B47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nTime">
    <w:panose1 w:val="020B7200000000000000"/>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1E0EB6F" w14:textId="77777777" w:rsidR="007B47A9" w:rsidRDefault="007B47A9">
      <w:r>
        <w:separator/>
      </w:r>
    </w:p>
  </w:footnote>
  <w:footnote w:type="continuationSeparator" w:id="0">
    <w:p w14:paraId="1103AF09" w14:textId="77777777" w:rsidR="007B47A9" w:rsidRDefault="007B47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500733705"/>
      <w:docPartObj>
        <w:docPartGallery w:val="Page Numbers (Top of Page)"/>
        <w:docPartUnique/>
      </w:docPartObj>
    </w:sdtPr>
    <w:sdtEndPr>
      <w:rPr>
        <w:noProof/>
      </w:rPr>
    </w:sdtEndPr>
    <w:sdtContent>
      <w:p w14:paraId="3CA96D90" w14:textId="1B68605A" w:rsidR="00B77558" w:rsidRDefault="00B77558">
        <w:pPr>
          <w:pStyle w:val="Header"/>
          <w:jc w:val="center"/>
        </w:pPr>
        <w:r>
          <w:fldChar w:fldCharType="begin"/>
        </w:r>
        <w:r>
          <w:instrText xml:space="preserve"> PAGE   \* MERGEFORMAT </w:instrText>
        </w:r>
        <w:r>
          <w:fldChar w:fldCharType="separate"/>
        </w:r>
        <w:r>
          <w:rPr>
            <w:noProof/>
          </w:rPr>
          <w:t>2</w:t>
        </w:r>
        <w:r>
          <w:rPr>
            <w:noProof/>
          </w:rPr>
          <w:fldChar w:fldCharType="end"/>
        </w:r>
      </w:p>
    </w:sdtContent>
  </w:sdt>
  <w:p w14:paraId="3236DAC8" w14:textId="77777777" w:rsidR="00B77558" w:rsidRDefault="00B7755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C2601D"/>
    <w:multiLevelType w:val="hybridMultilevel"/>
    <w:tmpl w:val="A518061C"/>
    <w:lvl w:ilvl="0" w:tplc="7DAE1876">
      <w:start w:val="1"/>
      <w:numFmt w:val="bullet"/>
      <w:lvlText w:val="-"/>
      <w:lvlJc w:val="left"/>
      <w:pPr>
        <w:tabs>
          <w:tab w:val="num" w:pos="1380"/>
        </w:tabs>
        <w:ind w:left="1380" w:hanging="360"/>
      </w:pPr>
      <w:rPr>
        <w:rFonts w:ascii="Times New Roman" w:eastAsia="Times New Roman" w:hAnsi="Times New Roman" w:cs="Times New Roman" w:hint="default"/>
      </w:rPr>
    </w:lvl>
    <w:lvl w:ilvl="1" w:tplc="042A0003" w:tentative="1">
      <w:start w:val="1"/>
      <w:numFmt w:val="bullet"/>
      <w:lvlText w:val="o"/>
      <w:lvlJc w:val="left"/>
      <w:pPr>
        <w:tabs>
          <w:tab w:val="num" w:pos="2100"/>
        </w:tabs>
        <w:ind w:left="2100" w:hanging="360"/>
      </w:pPr>
      <w:rPr>
        <w:rFonts w:ascii="Courier New" w:hAnsi="Courier New" w:cs="Courier New" w:hint="default"/>
      </w:rPr>
    </w:lvl>
    <w:lvl w:ilvl="2" w:tplc="042A0005" w:tentative="1">
      <w:start w:val="1"/>
      <w:numFmt w:val="bullet"/>
      <w:lvlText w:val=""/>
      <w:lvlJc w:val="left"/>
      <w:pPr>
        <w:tabs>
          <w:tab w:val="num" w:pos="2820"/>
        </w:tabs>
        <w:ind w:left="2820" w:hanging="360"/>
      </w:pPr>
      <w:rPr>
        <w:rFonts w:ascii="Wingdings" w:hAnsi="Wingdings" w:hint="default"/>
      </w:rPr>
    </w:lvl>
    <w:lvl w:ilvl="3" w:tplc="042A0001" w:tentative="1">
      <w:start w:val="1"/>
      <w:numFmt w:val="bullet"/>
      <w:lvlText w:val=""/>
      <w:lvlJc w:val="left"/>
      <w:pPr>
        <w:tabs>
          <w:tab w:val="num" w:pos="3540"/>
        </w:tabs>
        <w:ind w:left="3540" w:hanging="360"/>
      </w:pPr>
      <w:rPr>
        <w:rFonts w:ascii="Symbol" w:hAnsi="Symbol" w:hint="default"/>
      </w:rPr>
    </w:lvl>
    <w:lvl w:ilvl="4" w:tplc="042A0003" w:tentative="1">
      <w:start w:val="1"/>
      <w:numFmt w:val="bullet"/>
      <w:lvlText w:val="o"/>
      <w:lvlJc w:val="left"/>
      <w:pPr>
        <w:tabs>
          <w:tab w:val="num" w:pos="4260"/>
        </w:tabs>
        <w:ind w:left="4260" w:hanging="360"/>
      </w:pPr>
      <w:rPr>
        <w:rFonts w:ascii="Courier New" w:hAnsi="Courier New" w:cs="Courier New" w:hint="default"/>
      </w:rPr>
    </w:lvl>
    <w:lvl w:ilvl="5" w:tplc="042A0005" w:tentative="1">
      <w:start w:val="1"/>
      <w:numFmt w:val="bullet"/>
      <w:lvlText w:val=""/>
      <w:lvlJc w:val="left"/>
      <w:pPr>
        <w:tabs>
          <w:tab w:val="num" w:pos="4980"/>
        </w:tabs>
        <w:ind w:left="4980" w:hanging="360"/>
      </w:pPr>
      <w:rPr>
        <w:rFonts w:ascii="Wingdings" w:hAnsi="Wingdings" w:hint="default"/>
      </w:rPr>
    </w:lvl>
    <w:lvl w:ilvl="6" w:tplc="042A0001" w:tentative="1">
      <w:start w:val="1"/>
      <w:numFmt w:val="bullet"/>
      <w:lvlText w:val=""/>
      <w:lvlJc w:val="left"/>
      <w:pPr>
        <w:tabs>
          <w:tab w:val="num" w:pos="5700"/>
        </w:tabs>
        <w:ind w:left="5700" w:hanging="360"/>
      </w:pPr>
      <w:rPr>
        <w:rFonts w:ascii="Symbol" w:hAnsi="Symbol" w:hint="default"/>
      </w:rPr>
    </w:lvl>
    <w:lvl w:ilvl="7" w:tplc="042A0003" w:tentative="1">
      <w:start w:val="1"/>
      <w:numFmt w:val="bullet"/>
      <w:lvlText w:val="o"/>
      <w:lvlJc w:val="left"/>
      <w:pPr>
        <w:tabs>
          <w:tab w:val="num" w:pos="6420"/>
        </w:tabs>
        <w:ind w:left="6420" w:hanging="360"/>
      </w:pPr>
      <w:rPr>
        <w:rFonts w:ascii="Courier New" w:hAnsi="Courier New" w:cs="Courier New" w:hint="default"/>
      </w:rPr>
    </w:lvl>
    <w:lvl w:ilvl="8" w:tplc="042A0005" w:tentative="1">
      <w:start w:val="1"/>
      <w:numFmt w:val="bullet"/>
      <w:lvlText w:val=""/>
      <w:lvlJc w:val="left"/>
      <w:pPr>
        <w:tabs>
          <w:tab w:val="num" w:pos="7140"/>
        </w:tabs>
        <w:ind w:left="7140" w:hanging="360"/>
      </w:pPr>
      <w:rPr>
        <w:rFonts w:ascii="Wingdings" w:hAnsi="Wingdings" w:hint="default"/>
      </w:rPr>
    </w:lvl>
  </w:abstractNum>
  <w:abstractNum w:abstractNumId="1" w15:restartNumberingAfterBreak="0">
    <w:nsid w:val="2E2D3F0E"/>
    <w:multiLevelType w:val="hybridMultilevel"/>
    <w:tmpl w:val="9E327F06"/>
    <w:lvl w:ilvl="0" w:tplc="3AB0D4BA">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3A66110B"/>
    <w:multiLevelType w:val="hybridMultilevel"/>
    <w:tmpl w:val="19D43B1C"/>
    <w:lvl w:ilvl="0" w:tplc="6E042614">
      <w:start w:val="2"/>
      <w:numFmt w:val="bullet"/>
      <w:lvlText w:val="-"/>
      <w:lvlJc w:val="left"/>
      <w:pPr>
        <w:tabs>
          <w:tab w:val="num" w:pos="3675"/>
        </w:tabs>
        <w:ind w:left="3675" w:hanging="360"/>
      </w:pPr>
      <w:rPr>
        <w:rFonts w:ascii="Times New Roman" w:eastAsia="Times New Roman" w:hAnsi="Times New Roman" w:cs="Times New Roman" w:hint="default"/>
        <w:b/>
      </w:rPr>
    </w:lvl>
    <w:lvl w:ilvl="1" w:tplc="04090003" w:tentative="1">
      <w:start w:val="1"/>
      <w:numFmt w:val="bullet"/>
      <w:lvlText w:val="o"/>
      <w:lvlJc w:val="left"/>
      <w:pPr>
        <w:tabs>
          <w:tab w:val="num" w:pos="4395"/>
        </w:tabs>
        <w:ind w:left="4395" w:hanging="360"/>
      </w:pPr>
      <w:rPr>
        <w:rFonts w:ascii="Courier New" w:hAnsi="Courier New" w:cs="Courier New" w:hint="default"/>
      </w:rPr>
    </w:lvl>
    <w:lvl w:ilvl="2" w:tplc="04090005" w:tentative="1">
      <w:start w:val="1"/>
      <w:numFmt w:val="bullet"/>
      <w:lvlText w:val=""/>
      <w:lvlJc w:val="left"/>
      <w:pPr>
        <w:tabs>
          <w:tab w:val="num" w:pos="5115"/>
        </w:tabs>
        <w:ind w:left="5115" w:hanging="360"/>
      </w:pPr>
      <w:rPr>
        <w:rFonts w:ascii="Wingdings" w:hAnsi="Wingdings" w:hint="default"/>
      </w:rPr>
    </w:lvl>
    <w:lvl w:ilvl="3" w:tplc="04090001" w:tentative="1">
      <w:start w:val="1"/>
      <w:numFmt w:val="bullet"/>
      <w:lvlText w:val=""/>
      <w:lvlJc w:val="left"/>
      <w:pPr>
        <w:tabs>
          <w:tab w:val="num" w:pos="5835"/>
        </w:tabs>
        <w:ind w:left="5835" w:hanging="360"/>
      </w:pPr>
      <w:rPr>
        <w:rFonts w:ascii="Symbol" w:hAnsi="Symbol" w:hint="default"/>
      </w:rPr>
    </w:lvl>
    <w:lvl w:ilvl="4" w:tplc="04090003" w:tentative="1">
      <w:start w:val="1"/>
      <w:numFmt w:val="bullet"/>
      <w:lvlText w:val="o"/>
      <w:lvlJc w:val="left"/>
      <w:pPr>
        <w:tabs>
          <w:tab w:val="num" w:pos="6555"/>
        </w:tabs>
        <w:ind w:left="6555" w:hanging="360"/>
      </w:pPr>
      <w:rPr>
        <w:rFonts w:ascii="Courier New" w:hAnsi="Courier New" w:cs="Courier New" w:hint="default"/>
      </w:rPr>
    </w:lvl>
    <w:lvl w:ilvl="5" w:tplc="04090005" w:tentative="1">
      <w:start w:val="1"/>
      <w:numFmt w:val="bullet"/>
      <w:lvlText w:val=""/>
      <w:lvlJc w:val="left"/>
      <w:pPr>
        <w:tabs>
          <w:tab w:val="num" w:pos="7275"/>
        </w:tabs>
        <w:ind w:left="7275" w:hanging="360"/>
      </w:pPr>
      <w:rPr>
        <w:rFonts w:ascii="Wingdings" w:hAnsi="Wingdings" w:hint="default"/>
      </w:rPr>
    </w:lvl>
    <w:lvl w:ilvl="6" w:tplc="04090001" w:tentative="1">
      <w:start w:val="1"/>
      <w:numFmt w:val="bullet"/>
      <w:lvlText w:val=""/>
      <w:lvlJc w:val="left"/>
      <w:pPr>
        <w:tabs>
          <w:tab w:val="num" w:pos="7995"/>
        </w:tabs>
        <w:ind w:left="7995" w:hanging="360"/>
      </w:pPr>
      <w:rPr>
        <w:rFonts w:ascii="Symbol" w:hAnsi="Symbol" w:hint="default"/>
      </w:rPr>
    </w:lvl>
    <w:lvl w:ilvl="7" w:tplc="04090003" w:tentative="1">
      <w:start w:val="1"/>
      <w:numFmt w:val="bullet"/>
      <w:lvlText w:val="o"/>
      <w:lvlJc w:val="left"/>
      <w:pPr>
        <w:tabs>
          <w:tab w:val="num" w:pos="8715"/>
        </w:tabs>
        <w:ind w:left="8715" w:hanging="360"/>
      </w:pPr>
      <w:rPr>
        <w:rFonts w:ascii="Courier New" w:hAnsi="Courier New" w:cs="Courier New" w:hint="default"/>
      </w:rPr>
    </w:lvl>
    <w:lvl w:ilvl="8" w:tplc="04090005" w:tentative="1">
      <w:start w:val="1"/>
      <w:numFmt w:val="bullet"/>
      <w:lvlText w:val=""/>
      <w:lvlJc w:val="left"/>
      <w:pPr>
        <w:tabs>
          <w:tab w:val="num" w:pos="9435"/>
        </w:tabs>
        <w:ind w:left="9435" w:hanging="360"/>
      </w:pPr>
      <w:rPr>
        <w:rFonts w:ascii="Wingdings" w:hAnsi="Wingdings" w:hint="default"/>
      </w:rPr>
    </w:lvl>
  </w:abstractNum>
  <w:abstractNum w:abstractNumId="3" w15:restartNumberingAfterBreak="0">
    <w:nsid w:val="3DDA1DED"/>
    <w:multiLevelType w:val="hybridMultilevel"/>
    <w:tmpl w:val="A6300F3C"/>
    <w:lvl w:ilvl="0" w:tplc="3920DE9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4594055B"/>
    <w:multiLevelType w:val="hybridMultilevel"/>
    <w:tmpl w:val="5BAE8030"/>
    <w:lvl w:ilvl="0" w:tplc="51A8EC8E">
      <w:start w:val="1"/>
      <w:numFmt w:val="decimal"/>
      <w:lvlText w:val="%1."/>
      <w:lvlJc w:val="left"/>
      <w:pPr>
        <w:tabs>
          <w:tab w:val="num" w:pos="905"/>
        </w:tabs>
        <w:ind w:left="905" w:hanging="360"/>
      </w:pPr>
      <w:rPr>
        <w:rFonts w:hint="default"/>
        <w:b/>
      </w:rPr>
    </w:lvl>
    <w:lvl w:ilvl="1" w:tplc="21C60D2E">
      <w:numFmt w:val="none"/>
      <w:lvlText w:val=""/>
      <w:lvlJc w:val="left"/>
      <w:pPr>
        <w:tabs>
          <w:tab w:val="num" w:pos="545"/>
        </w:tabs>
      </w:pPr>
    </w:lvl>
    <w:lvl w:ilvl="2" w:tplc="0BB0DA32">
      <w:numFmt w:val="none"/>
      <w:lvlText w:val=""/>
      <w:lvlJc w:val="left"/>
      <w:pPr>
        <w:tabs>
          <w:tab w:val="num" w:pos="545"/>
        </w:tabs>
      </w:pPr>
    </w:lvl>
    <w:lvl w:ilvl="3" w:tplc="4EE043C2">
      <w:numFmt w:val="none"/>
      <w:lvlText w:val=""/>
      <w:lvlJc w:val="left"/>
      <w:pPr>
        <w:tabs>
          <w:tab w:val="num" w:pos="545"/>
        </w:tabs>
      </w:pPr>
    </w:lvl>
    <w:lvl w:ilvl="4" w:tplc="F012AC50">
      <w:numFmt w:val="none"/>
      <w:lvlText w:val=""/>
      <w:lvlJc w:val="left"/>
      <w:pPr>
        <w:tabs>
          <w:tab w:val="num" w:pos="545"/>
        </w:tabs>
      </w:pPr>
    </w:lvl>
    <w:lvl w:ilvl="5" w:tplc="212CF420">
      <w:numFmt w:val="none"/>
      <w:lvlText w:val=""/>
      <w:lvlJc w:val="left"/>
      <w:pPr>
        <w:tabs>
          <w:tab w:val="num" w:pos="545"/>
        </w:tabs>
      </w:pPr>
    </w:lvl>
    <w:lvl w:ilvl="6" w:tplc="F1AAB99A">
      <w:numFmt w:val="none"/>
      <w:lvlText w:val=""/>
      <w:lvlJc w:val="left"/>
      <w:pPr>
        <w:tabs>
          <w:tab w:val="num" w:pos="545"/>
        </w:tabs>
      </w:pPr>
    </w:lvl>
    <w:lvl w:ilvl="7" w:tplc="FC46CBD4">
      <w:numFmt w:val="none"/>
      <w:lvlText w:val=""/>
      <w:lvlJc w:val="left"/>
      <w:pPr>
        <w:tabs>
          <w:tab w:val="num" w:pos="545"/>
        </w:tabs>
      </w:pPr>
    </w:lvl>
    <w:lvl w:ilvl="8" w:tplc="05224F8E">
      <w:numFmt w:val="none"/>
      <w:lvlText w:val=""/>
      <w:lvlJc w:val="left"/>
      <w:pPr>
        <w:tabs>
          <w:tab w:val="num" w:pos="545"/>
        </w:tabs>
      </w:pPr>
    </w:lvl>
  </w:abstractNum>
  <w:abstractNum w:abstractNumId="5" w15:restartNumberingAfterBreak="0">
    <w:nsid w:val="48925032"/>
    <w:multiLevelType w:val="hybridMultilevel"/>
    <w:tmpl w:val="38DCA882"/>
    <w:lvl w:ilvl="0" w:tplc="53A670C2">
      <w:start w:val="3"/>
      <w:numFmt w:val="bullet"/>
      <w:lvlText w:val="-"/>
      <w:lvlJc w:val="left"/>
      <w:pPr>
        <w:tabs>
          <w:tab w:val="num" w:pos="3840"/>
        </w:tabs>
        <w:ind w:left="3840" w:hanging="360"/>
      </w:pPr>
      <w:rPr>
        <w:rFonts w:ascii="Times New Roman" w:eastAsia="Times New Roman" w:hAnsi="Times New Roman" w:cs="Times New Roman" w:hint="default"/>
      </w:rPr>
    </w:lvl>
    <w:lvl w:ilvl="1" w:tplc="04090003" w:tentative="1">
      <w:start w:val="1"/>
      <w:numFmt w:val="bullet"/>
      <w:lvlText w:val="o"/>
      <w:lvlJc w:val="left"/>
      <w:pPr>
        <w:tabs>
          <w:tab w:val="num" w:pos="4560"/>
        </w:tabs>
        <w:ind w:left="4560" w:hanging="360"/>
      </w:pPr>
      <w:rPr>
        <w:rFonts w:ascii="Courier New" w:hAnsi="Courier New" w:cs="Courier New" w:hint="default"/>
      </w:rPr>
    </w:lvl>
    <w:lvl w:ilvl="2" w:tplc="04090005" w:tentative="1">
      <w:start w:val="1"/>
      <w:numFmt w:val="bullet"/>
      <w:lvlText w:val=""/>
      <w:lvlJc w:val="left"/>
      <w:pPr>
        <w:tabs>
          <w:tab w:val="num" w:pos="5280"/>
        </w:tabs>
        <w:ind w:left="5280" w:hanging="360"/>
      </w:pPr>
      <w:rPr>
        <w:rFonts w:ascii="Wingdings" w:hAnsi="Wingdings" w:hint="default"/>
      </w:rPr>
    </w:lvl>
    <w:lvl w:ilvl="3" w:tplc="04090001" w:tentative="1">
      <w:start w:val="1"/>
      <w:numFmt w:val="bullet"/>
      <w:lvlText w:val=""/>
      <w:lvlJc w:val="left"/>
      <w:pPr>
        <w:tabs>
          <w:tab w:val="num" w:pos="6000"/>
        </w:tabs>
        <w:ind w:left="6000" w:hanging="360"/>
      </w:pPr>
      <w:rPr>
        <w:rFonts w:ascii="Symbol" w:hAnsi="Symbol" w:hint="default"/>
      </w:rPr>
    </w:lvl>
    <w:lvl w:ilvl="4" w:tplc="04090003" w:tentative="1">
      <w:start w:val="1"/>
      <w:numFmt w:val="bullet"/>
      <w:lvlText w:val="o"/>
      <w:lvlJc w:val="left"/>
      <w:pPr>
        <w:tabs>
          <w:tab w:val="num" w:pos="6720"/>
        </w:tabs>
        <w:ind w:left="6720" w:hanging="360"/>
      </w:pPr>
      <w:rPr>
        <w:rFonts w:ascii="Courier New" w:hAnsi="Courier New" w:cs="Courier New" w:hint="default"/>
      </w:rPr>
    </w:lvl>
    <w:lvl w:ilvl="5" w:tplc="04090005" w:tentative="1">
      <w:start w:val="1"/>
      <w:numFmt w:val="bullet"/>
      <w:lvlText w:val=""/>
      <w:lvlJc w:val="left"/>
      <w:pPr>
        <w:tabs>
          <w:tab w:val="num" w:pos="7440"/>
        </w:tabs>
        <w:ind w:left="7440" w:hanging="360"/>
      </w:pPr>
      <w:rPr>
        <w:rFonts w:ascii="Wingdings" w:hAnsi="Wingdings" w:hint="default"/>
      </w:rPr>
    </w:lvl>
    <w:lvl w:ilvl="6" w:tplc="04090001" w:tentative="1">
      <w:start w:val="1"/>
      <w:numFmt w:val="bullet"/>
      <w:lvlText w:val=""/>
      <w:lvlJc w:val="left"/>
      <w:pPr>
        <w:tabs>
          <w:tab w:val="num" w:pos="8160"/>
        </w:tabs>
        <w:ind w:left="8160" w:hanging="360"/>
      </w:pPr>
      <w:rPr>
        <w:rFonts w:ascii="Symbol" w:hAnsi="Symbol" w:hint="default"/>
      </w:rPr>
    </w:lvl>
    <w:lvl w:ilvl="7" w:tplc="04090003" w:tentative="1">
      <w:start w:val="1"/>
      <w:numFmt w:val="bullet"/>
      <w:lvlText w:val="o"/>
      <w:lvlJc w:val="left"/>
      <w:pPr>
        <w:tabs>
          <w:tab w:val="num" w:pos="8880"/>
        </w:tabs>
        <w:ind w:left="8880" w:hanging="360"/>
      </w:pPr>
      <w:rPr>
        <w:rFonts w:ascii="Courier New" w:hAnsi="Courier New" w:cs="Courier New" w:hint="default"/>
      </w:rPr>
    </w:lvl>
    <w:lvl w:ilvl="8" w:tplc="04090005" w:tentative="1">
      <w:start w:val="1"/>
      <w:numFmt w:val="bullet"/>
      <w:lvlText w:val=""/>
      <w:lvlJc w:val="left"/>
      <w:pPr>
        <w:tabs>
          <w:tab w:val="num" w:pos="9600"/>
        </w:tabs>
        <w:ind w:left="9600" w:hanging="360"/>
      </w:pPr>
      <w:rPr>
        <w:rFonts w:ascii="Wingdings" w:hAnsi="Wingdings" w:hint="default"/>
      </w:rPr>
    </w:lvl>
  </w:abstractNum>
  <w:abstractNum w:abstractNumId="6" w15:restartNumberingAfterBreak="0">
    <w:nsid w:val="6C93117A"/>
    <w:multiLevelType w:val="hybridMultilevel"/>
    <w:tmpl w:val="800839C6"/>
    <w:lvl w:ilvl="0" w:tplc="E71466D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775C4812"/>
    <w:multiLevelType w:val="hybridMultilevel"/>
    <w:tmpl w:val="C6483BBC"/>
    <w:lvl w:ilvl="0" w:tplc="042A000F">
      <w:start w:val="1"/>
      <w:numFmt w:val="decimal"/>
      <w:lvlText w:val="%1."/>
      <w:lvlJc w:val="left"/>
      <w:pPr>
        <w:tabs>
          <w:tab w:val="num" w:pos="720"/>
        </w:tabs>
        <w:ind w:left="720" w:hanging="360"/>
      </w:pPr>
      <w:rPr>
        <w:rFonts w:hint="default"/>
      </w:rPr>
    </w:lvl>
    <w:lvl w:ilvl="1" w:tplc="042A0019" w:tentative="1">
      <w:start w:val="1"/>
      <w:numFmt w:val="lowerLetter"/>
      <w:lvlText w:val="%2."/>
      <w:lvlJc w:val="left"/>
      <w:pPr>
        <w:tabs>
          <w:tab w:val="num" w:pos="1440"/>
        </w:tabs>
        <w:ind w:left="1440" w:hanging="360"/>
      </w:pPr>
    </w:lvl>
    <w:lvl w:ilvl="2" w:tplc="042A001B" w:tentative="1">
      <w:start w:val="1"/>
      <w:numFmt w:val="lowerRoman"/>
      <w:lvlText w:val="%3."/>
      <w:lvlJc w:val="right"/>
      <w:pPr>
        <w:tabs>
          <w:tab w:val="num" w:pos="2160"/>
        </w:tabs>
        <w:ind w:left="2160" w:hanging="180"/>
      </w:pPr>
    </w:lvl>
    <w:lvl w:ilvl="3" w:tplc="042A000F" w:tentative="1">
      <w:start w:val="1"/>
      <w:numFmt w:val="decimal"/>
      <w:lvlText w:val="%4."/>
      <w:lvlJc w:val="left"/>
      <w:pPr>
        <w:tabs>
          <w:tab w:val="num" w:pos="2880"/>
        </w:tabs>
        <w:ind w:left="2880" w:hanging="360"/>
      </w:pPr>
    </w:lvl>
    <w:lvl w:ilvl="4" w:tplc="042A0019" w:tentative="1">
      <w:start w:val="1"/>
      <w:numFmt w:val="lowerLetter"/>
      <w:lvlText w:val="%5."/>
      <w:lvlJc w:val="left"/>
      <w:pPr>
        <w:tabs>
          <w:tab w:val="num" w:pos="3600"/>
        </w:tabs>
        <w:ind w:left="3600" w:hanging="360"/>
      </w:pPr>
    </w:lvl>
    <w:lvl w:ilvl="5" w:tplc="042A001B" w:tentative="1">
      <w:start w:val="1"/>
      <w:numFmt w:val="lowerRoman"/>
      <w:lvlText w:val="%6."/>
      <w:lvlJc w:val="right"/>
      <w:pPr>
        <w:tabs>
          <w:tab w:val="num" w:pos="4320"/>
        </w:tabs>
        <w:ind w:left="4320" w:hanging="180"/>
      </w:pPr>
    </w:lvl>
    <w:lvl w:ilvl="6" w:tplc="042A000F" w:tentative="1">
      <w:start w:val="1"/>
      <w:numFmt w:val="decimal"/>
      <w:lvlText w:val="%7."/>
      <w:lvlJc w:val="left"/>
      <w:pPr>
        <w:tabs>
          <w:tab w:val="num" w:pos="5040"/>
        </w:tabs>
        <w:ind w:left="5040" w:hanging="360"/>
      </w:pPr>
    </w:lvl>
    <w:lvl w:ilvl="7" w:tplc="042A0019" w:tentative="1">
      <w:start w:val="1"/>
      <w:numFmt w:val="lowerLetter"/>
      <w:lvlText w:val="%8."/>
      <w:lvlJc w:val="left"/>
      <w:pPr>
        <w:tabs>
          <w:tab w:val="num" w:pos="5760"/>
        </w:tabs>
        <w:ind w:left="5760" w:hanging="360"/>
      </w:pPr>
    </w:lvl>
    <w:lvl w:ilvl="8" w:tplc="042A001B" w:tentative="1">
      <w:start w:val="1"/>
      <w:numFmt w:val="lowerRoman"/>
      <w:lvlText w:val="%9."/>
      <w:lvlJc w:val="right"/>
      <w:pPr>
        <w:tabs>
          <w:tab w:val="num" w:pos="6480"/>
        </w:tabs>
        <w:ind w:left="6480" w:hanging="180"/>
      </w:pPr>
    </w:lvl>
  </w:abstractNum>
  <w:num w:numId="1">
    <w:abstractNumId w:val="5"/>
  </w:num>
  <w:num w:numId="2">
    <w:abstractNumId w:val="2"/>
  </w:num>
  <w:num w:numId="3">
    <w:abstractNumId w:val="7"/>
  </w:num>
  <w:num w:numId="4">
    <w:abstractNumId w:val="0"/>
  </w:num>
  <w:num w:numId="5">
    <w:abstractNumId w:val="4"/>
  </w:num>
  <w:num w:numId="6">
    <w:abstractNumId w:val="1"/>
  </w:num>
  <w:num w:numId="7">
    <w:abstractNumId w:val="3"/>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16DF5"/>
    <w:rsid w:val="00004686"/>
    <w:rsid w:val="00007A5B"/>
    <w:rsid w:val="00010C11"/>
    <w:rsid w:val="000135D1"/>
    <w:rsid w:val="00015D28"/>
    <w:rsid w:val="00025D60"/>
    <w:rsid w:val="00027A47"/>
    <w:rsid w:val="000418A0"/>
    <w:rsid w:val="00045A06"/>
    <w:rsid w:val="00051E53"/>
    <w:rsid w:val="00055380"/>
    <w:rsid w:val="000609C7"/>
    <w:rsid w:val="000622E3"/>
    <w:rsid w:val="000623EF"/>
    <w:rsid w:val="00062471"/>
    <w:rsid w:val="00063BC9"/>
    <w:rsid w:val="00070B47"/>
    <w:rsid w:val="000729F2"/>
    <w:rsid w:val="00077675"/>
    <w:rsid w:val="000808D2"/>
    <w:rsid w:val="00080C74"/>
    <w:rsid w:val="00082097"/>
    <w:rsid w:val="00082397"/>
    <w:rsid w:val="00082638"/>
    <w:rsid w:val="00087751"/>
    <w:rsid w:val="00090DB5"/>
    <w:rsid w:val="00092607"/>
    <w:rsid w:val="0009299A"/>
    <w:rsid w:val="00096529"/>
    <w:rsid w:val="000A07D9"/>
    <w:rsid w:val="000B527B"/>
    <w:rsid w:val="000C6C7E"/>
    <w:rsid w:val="000C7A32"/>
    <w:rsid w:val="000D1196"/>
    <w:rsid w:val="000D11BE"/>
    <w:rsid w:val="000D7A96"/>
    <w:rsid w:val="000E28A9"/>
    <w:rsid w:val="000F3AB9"/>
    <w:rsid w:val="000F3D29"/>
    <w:rsid w:val="000F4021"/>
    <w:rsid w:val="000F49BA"/>
    <w:rsid w:val="000F7461"/>
    <w:rsid w:val="0010100C"/>
    <w:rsid w:val="001013CC"/>
    <w:rsid w:val="0010417A"/>
    <w:rsid w:val="00104C05"/>
    <w:rsid w:val="0010603B"/>
    <w:rsid w:val="00117829"/>
    <w:rsid w:val="00117F1B"/>
    <w:rsid w:val="00123B06"/>
    <w:rsid w:val="00125EEF"/>
    <w:rsid w:val="00127079"/>
    <w:rsid w:val="00127BF3"/>
    <w:rsid w:val="00133FDD"/>
    <w:rsid w:val="00135A63"/>
    <w:rsid w:val="001369AD"/>
    <w:rsid w:val="00137417"/>
    <w:rsid w:val="00137BFB"/>
    <w:rsid w:val="001451C7"/>
    <w:rsid w:val="00147268"/>
    <w:rsid w:val="00160CD3"/>
    <w:rsid w:val="001630A0"/>
    <w:rsid w:val="00163AEF"/>
    <w:rsid w:val="00166862"/>
    <w:rsid w:val="00166ADC"/>
    <w:rsid w:val="00167701"/>
    <w:rsid w:val="00170E76"/>
    <w:rsid w:val="001748D8"/>
    <w:rsid w:val="00176D56"/>
    <w:rsid w:val="001935CE"/>
    <w:rsid w:val="00194323"/>
    <w:rsid w:val="001950E3"/>
    <w:rsid w:val="001A25D1"/>
    <w:rsid w:val="001A5868"/>
    <w:rsid w:val="001A5DA4"/>
    <w:rsid w:val="001B0D8D"/>
    <w:rsid w:val="001B1B9C"/>
    <w:rsid w:val="001B2514"/>
    <w:rsid w:val="001B408C"/>
    <w:rsid w:val="001B4859"/>
    <w:rsid w:val="001C136A"/>
    <w:rsid w:val="001C20D0"/>
    <w:rsid w:val="001D4E84"/>
    <w:rsid w:val="001E529D"/>
    <w:rsid w:val="001F28BC"/>
    <w:rsid w:val="001F5AAF"/>
    <w:rsid w:val="001F62A4"/>
    <w:rsid w:val="00206EB8"/>
    <w:rsid w:val="0021079A"/>
    <w:rsid w:val="00210A60"/>
    <w:rsid w:val="00216597"/>
    <w:rsid w:val="00227534"/>
    <w:rsid w:val="00227635"/>
    <w:rsid w:val="00230490"/>
    <w:rsid w:val="00230847"/>
    <w:rsid w:val="002339D1"/>
    <w:rsid w:val="0023786C"/>
    <w:rsid w:val="00245F0E"/>
    <w:rsid w:val="00250224"/>
    <w:rsid w:val="00260D68"/>
    <w:rsid w:val="002645B7"/>
    <w:rsid w:val="00267239"/>
    <w:rsid w:val="00272B34"/>
    <w:rsid w:val="002844EC"/>
    <w:rsid w:val="002856B0"/>
    <w:rsid w:val="00285C27"/>
    <w:rsid w:val="00287636"/>
    <w:rsid w:val="0029259D"/>
    <w:rsid w:val="00295E64"/>
    <w:rsid w:val="002A3712"/>
    <w:rsid w:val="002A4714"/>
    <w:rsid w:val="002B77B6"/>
    <w:rsid w:val="002C168C"/>
    <w:rsid w:val="002D02DA"/>
    <w:rsid w:val="002D0538"/>
    <w:rsid w:val="002D371E"/>
    <w:rsid w:val="002D4BA6"/>
    <w:rsid w:val="002D7DE8"/>
    <w:rsid w:val="002E7028"/>
    <w:rsid w:val="002F0071"/>
    <w:rsid w:val="002F4169"/>
    <w:rsid w:val="002F68B0"/>
    <w:rsid w:val="002F7D5F"/>
    <w:rsid w:val="00310A72"/>
    <w:rsid w:val="00313D50"/>
    <w:rsid w:val="00314199"/>
    <w:rsid w:val="003177C9"/>
    <w:rsid w:val="00333F0F"/>
    <w:rsid w:val="00337B19"/>
    <w:rsid w:val="003426F6"/>
    <w:rsid w:val="003433C9"/>
    <w:rsid w:val="003511CE"/>
    <w:rsid w:val="00364614"/>
    <w:rsid w:val="00366E66"/>
    <w:rsid w:val="00367D4D"/>
    <w:rsid w:val="0037080C"/>
    <w:rsid w:val="00371478"/>
    <w:rsid w:val="00372325"/>
    <w:rsid w:val="00377250"/>
    <w:rsid w:val="003818A6"/>
    <w:rsid w:val="003838D6"/>
    <w:rsid w:val="00385624"/>
    <w:rsid w:val="00390807"/>
    <w:rsid w:val="003A042D"/>
    <w:rsid w:val="003A126D"/>
    <w:rsid w:val="003C157E"/>
    <w:rsid w:val="003D7802"/>
    <w:rsid w:val="003E0863"/>
    <w:rsid w:val="003E4343"/>
    <w:rsid w:val="003F2A02"/>
    <w:rsid w:val="003F42DB"/>
    <w:rsid w:val="003F614B"/>
    <w:rsid w:val="003F6DD5"/>
    <w:rsid w:val="00403AEF"/>
    <w:rsid w:val="00404B05"/>
    <w:rsid w:val="00406268"/>
    <w:rsid w:val="004147F6"/>
    <w:rsid w:val="004316D9"/>
    <w:rsid w:val="004355D1"/>
    <w:rsid w:val="00435F47"/>
    <w:rsid w:val="00437524"/>
    <w:rsid w:val="0044164C"/>
    <w:rsid w:val="00441D13"/>
    <w:rsid w:val="00445C6C"/>
    <w:rsid w:val="0044610A"/>
    <w:rsid w:val="00450C4A"/>
    <w:rsid w:val="00452E5E"/>
    <w:rsid w:val="00456C03"/>
    <w:rsid w:val="00463511"/>
    <w:rsid w:val="00467346"/>
    <w:rsid w:val="004724AD"/>
    <w:rsid w:val="00472FFD"/>
    <w:rsid w:val="004763F1"/>
    <w:rsid w:val="00480BF2"/>
    <w:rsid w:val="00485BFF"/>
    <w:rsid w:val="004974AE"/>
    <w:rsid w:val="004A5E69"/>
    <w:rsid w:val="004B256E"/>
    <w:rsid w:val="004C1C8A"/>
    <w:rsid w:val="004C29E5"/>
    <w:rsid w:val="004C3FAE"/>
    <w:rsid w:val="004C4C62"/>
    <w:rsid w:val="004C5924"/>
    <w:rsid w:val="004D0C92"/>
    <w:rsid w:val="004D121F"/>
    <w:rsid w:val="004D2A88"/>
    <w:rsid w:val="004D3CB6"/>
    <w:rsid w:val="004D5A49"/>
    <w:rsid w:val="004D7F80"/>
    <w:rsid w:val="004E5F66"/>
    <w:rsid w:val="004E6E67"/>
    <w:rsid w:val="004F00D6"/>
    <w:rsid w:val="004F01DF"/>
    <w:rsid w:val="004F0757"/>
    <w:rsid w:val="004F5191"/>
    <w:rsid w:val="004F7966"/>
    <w:rsid w:val="00500455"/>
    <w:rsid w:val="00501D72"/>
    <w:rsid w:val="00503721"/>
    <w:rsid w:val="0050420F"/>
    <w:rsid w:val="0050488A"/>
    <w:rsid w:val="005103BE"/>
    <w:rsid w:val="0052454A"/>
    <w:rsid w:val="005253ED"/>
    <w:rsid w:val="00536C24"/>
    <w:rsid w:val="0054594D"/>
    <w:rsid w:val="00547A16"/>
    <w:rsid w:val="0055183B"/>
    <w:rsid w:val="00552F9D"/>
    <w:rsid w:val="0056287C"/>
    <w:rsid w:val="005635B2"/>
    <w:rsid w:val="00563960"/>
    <w:rsid w:val="0057056A"/>
    <w:rsid w:val="00570E21"/>
    <w:rsid w:val="00577095"/>
    <w:rsid w:val="0059144B"/>
    <w:rsid w:val="00593317"/>
    <w:rsid w:val="00593CE8"/>
    <w:rsid w:val="00597F22"/>
    <w:rsid w:val="005A2A90"/>
    <w:rsid w:val="005A34AB"/>
    <w:rsid w:val="005A6039"/>
    <w:rsid w:val="005A6206"/>
    <w:rsid w:val="005B34DD"/>
    <w:rsid w:val="005B3C2B"/>
    <w:rsid w:val="005B452C"/>
    <w:rsid w:val="005B4B31"/>
    <w:rsid w:val="005B6476"/>
    <w:rsid w:val="005B7CAA"/>
    <w:rsid w:val="005C0522"/>
    <w:rsid w:val="005C0B24"/>
    <w:rsid w:val="005E0FCE"/>
    <w:rsid w:val="005E1E3E"/>
    <w:rsid w:val="005E470B"/>
    <w:rsid w:val="005E53A5"/>
    <w:rsid w:val="005E5B6D"/>
    <w:rsid w:val="005F0D49"/>
    <w:rsid w:val="005F1BA8"/>
    <w:rsid w:val="005F2AEE"/>
    <w:rsid w:val="005F4B51"/>
    <w:rsid w:val="00602034"/>
    <w:rsid w:val="006114D3"/>
    <w:rsid w:val="0061590F"/>
    <w:rsid w:val="0061668D"/>
    <w:rsid w:val="00616EB3"/>
    <w:rsid w:val="00617AAD"/>
    <w:rsid w:val="00620DEE"/>
    <w:rsid w:val="00621F96"/>
    <w:rsid w:val="006230C1"/>
    <w:rsid w:val="006231EB"/>
    <w:rsid w:val="00633D25"/>
    <w:rsid w:val="006351A9"/>
    <w:rsid w:val="00640B67"/>
    <w:rsid w:val="0064339B"/>
    <w:rsid w:val="00645D7D"/>
    <w:rsid w:val="00660B5C"/>
    <w:rsid w:val="0066402C"/>
    <w:rsid w:val="00666CBF"/>
    <w:rsid w:val="00667C7D"/>
    <w:rsid w:val="00676CB4"/>
    <w:rsid w:val="00686882"/>
    <w:rsid w:val="00696277"/>
    <w:rsid w:val="006A429C"/>
    <w:rsid w:val="006B619F"/>
    <w:rsid w:val="006C1358"/>
    <w:rsid w:val="006C3FA6"/>
    <w:rsid w:val="006C68A3"/>
    <w:rsid w:val="006D58E8"/>
    <w:rsid w:val="006E1B83"/>
    <w:rsid w:val="006E1D45"/>
    <w:rsid w:val="006E31D4"/>
    <w:rsid w:val="006E498E"/>
    <w:rsid w:val="006E5645"/>
    <w:rsid w:val="006E68B4"/>
    <w:rsid w:val="006F2943"/>
    <w:rsid w:val="00703A94"/>
    <w:rsid w:val="007042CE"/>
    <w:rsid w:val="007052ED"/>
    <w:rsid w:val="00705FA3"/>
    <w:rsid w:val="00711814"/>
    <w:rsid w:val="00713C29"/>
    <w:rsid w:val="00713D0F"/>
    <w:rsid w:val="007224AD"/>
    <w:rsid w:val="0072404F"/>
    <w:rsid w:val="00727EB2"/>
    <w:rsid w:val="00740956"/>
    <w:rsid w:val="00746179"/>
    <w:rsid w:val="00750A00"/>
    <w:rsid w:val="00756027"/>
    <w:rsid w:val="00757488"/>
    <w:rsid w:val="007579AA"/>
    <w:rsid w:val="00763CA3"/>
    <w:rsid w:val="00763D20"/>
    <w:rsid w:val="00774C67"/>
    <w:rsid w:val="0077533E"/>
    <w:rsid w:val="00783284"/>
    <w:rsid w:val="00791F38"/>
    <w:rsid w:val="00794352"/>
    <w:rsid w:val="007A32FE"/>
    <w:rsid w:val="007A5159"/>
    <w:rsid w:val="007B1D7B"/>
    <w:rsid w:val="007B2B09"/>
    <w:rsid w:val="007B47A9"/>
    <w:rsid w:val="007B552D"/>
    <w:rsid w:val="007C0115"/>
    <w:rsid w:val="007C0A36"/>
    <w:rsid w:val="007D16F5"/>
    <w:rsid w:val="007D27D2"/>
    <w:rsid w:val="007D5354"/>
    <w:rsid w:val="007D6A01"/>
    <w:rsid w:val="007D718D"/>
    <w:rsid w:val="007E021D"/>
    <w:rsid w:val="007E1149"/>
    <w:rsid w:val="007E1A80"/>
    <w:rsid w:val="007F39FB"/>
    <w:rsid w:val="00803F32"/>
    <w:rsid w:val="0080674B"/>
    <w:rsid w:val="008119CA"/>
    <w:rsid w:val="008142A0"/>
    <w:rsid w:val="00816E57"/>
    <w:rsid w:val="00817B65"/>
    <w:rsid w:val="0082373A"/>
    <w:rsid w:val="008243C5"/>
    <w:rsid w:val="008257E9"/>
    <w:rsid w:val="0084323C"/>
    <w:rsid w:val="00845E17"/>
    <w:rsid w:val="008468C3"/>
    <w:rsid w:val="00846D97"/>
    <w:rsid w:val="00850FAF"/>
    <w:rsid w:val="008620C2"/>
    <w:rsid w:val="008626B1"/>
    <w:rsid w:val="008629F8"/>
    <w:rsid w:val="0087612E"/>
    <w:rsid w:val="008768D1"/>
    <w:rsid w:val="00876B6F"/>
    <w:rsid w:val="008837B6"/>
    <w:rsid w:val="0088508C"/>
    <w:rsid w:val="00892752"/>
    <w:rsid w:val="00894F8C"/>
    <w:rsid w:val="00897BFD"/>
    <w:rsid w:val="008A65F8"/>
    <w:rsid w:val="008B1359"/>
    <w:rsid w:val="008B41D2"/>
    <w:rsid w:val="008B6B33"/>
    <w:rsid w:val="008B7611"/>
    <w:rsid w:val="008D066E"/>
    <w:rsid w:val="008D36C2"/>
    <w:rsid w:val="008E073F"/>
    <w:rsid w:val="008E07AD"/>
    <w:rsid w:val="008E583C"/>
    <w:rsid w:val="008F3CBF"/>
    <w:rsid w:val="008F56F2"/>
    <w:rsid w:val="00900E8D"/>
    <w:rsid w:val="00900EB7"/>
    <w:rsid w:val="009026A1"/>
    <w:rsid w:val="00913216"/>
    <w:rsid w:val="00916126"/>
    <w:rsid w:val="0092618A"/>
    <w:rsid w:val="009338FA"/>
    <w:rsid w:val="009361B1"/>
    <w:rsid w:val="00937496"/>
    <w:rsid w:val="00937D4D"/>
    <w:rsid w:val="00941C2E"/>
    <w:rsid w:val="00942C6E"/>
    <w:rsid w:val="00944CBD"/>
    <w:rsid w:val="00953423"/>
    <w:rsid w:val="009551A8"/>
    <w:rsid w:val="00961426"/>
    <w:rsid w:val="00963F41"/>
    <w:rsid w:val="00963F47"/>
    <w:rsid w:val="00966F79"/>
    <w:rsid w:val="009674A5"/>
    <w:rsid w:val="00971A28"/>
    <w:rsid w:val="00985279"/>
    <w:rsid w:val="00986256"/>
    <w:rsid w:val="009876A6"/>
    <w:rsid w:val="00993735"/>
    <w:rsid w:val="00994696"/>
    <w:rsid w:val="009A12E3"/>
    <w:rsid w:val="009A2E67"/>
    <w:rsid w:val="009A5663"/>
    <w:rsid w:val="009B3CCF"/>
    <w:rsid w:val="009B3DE8"/>
    <w:rsid w:val="009B5941"/>
    <w:rsid w:val="009B62A8"/>
    <w:rsid w:val="009C1EB5"/>
    <w:rsid w:val="009C422C"/>
    <w:rsid w:val="009C5993"/>
    <w:rsid w:val="009C7234"/>
    <w:rsid w:val="009D2843"/>
    <w:rsid w:val="009D7C35"/>
    <w:rsid w:val="009E1CBD"/>
    <w:rsid w:val="009F0145"/>
    <w:rsid w:val="009F3B79"/>
    <w:rsid w:val="009F4C6E"/>
    <w:rsid w:val="009F5511"/>
    <w:rsid w:val="009F5581"/>
    <w:rsid w:val="009F59E3"/>
    <w:rsid w:val="00A01D05"/>
    <w:rsid w:val="00A14277"/>
    <w:rsid w:val="00A1474C"/>
    <w:rsid w:val="00A15A49"/>
    <w:rsid w:val="00A16DF5"/>
    <w:rsid w:val="00A22130"/>
    <w:rsid w:val="00A23C37"/>
    <w:rsid w:val="00A27C6E"/>
    <w:rsid w:val="00A43315"/>
    <w:rsid w:val="00A43AB1"/>
    <w:rsid w:val="00A46047"/>
    <w:rsid w:val="00A471A4"/>
    <w:rsid w:val="00A501B9"/>
    <w:rsid w:val="00A616A8"/>
    <w:rsid w:val="00A61988"/>
    <w:rsid w:val="00A63955"/>
    <w:rsid w:val="00A64201"/>
    <w:rsid w:val="00A661E4"/>
    <w:rsid w:val="00A66F28"/>
    <w:rsid w:val="00A67715"/>
    <w:rsid w:val="00A7369C"/>
    <w:rsid w:val="00A73948"/>
    <w:rsid w:val="00A73CEA"/>
    <w:rsid w:val="00A74CDE"/>
    <w:rsid w:val="00A754C5"/>
    <w:rsid w:val="00A8036D"/>
    <w:rsid w:val="00A84725"/>
    <w:rsid w:val="00A86DF5"/>
    <w:rsid w:val="00A91E47"/>
    <w:rsid w:val="00A93C25"/>
    <w:rsid w:val="00A94AD2"/>
    <w:rsid w:val="00A9760C"/>
    <w:rsid w:val="00AA0706"/>
    <w:rsid w:val="00AA1488"/>
    <w:rsid w:val="00AB285D"/>
    <w:rsid w:val="00AB29E9"/>
    <w:rsid w:val="00AC1826"/>
    <w:rsid w:val="00AC3C81"/>
    <w:rsid w:val="00AD09DA"/>
    <w:rsid w:val="00AD5271"/>
    <w:rsid w:val="00AD6D72"/>
    <w:rsid w:val="00AE17EE"/>
    <w:rsid w:val="00AE574C"/>
    <w:rsid w:val="00B0081E"/>
    <w:rsid w:val="00B04802"/>
    <w:rsid w:val="00B04AE8"/>
    <w:rsid w:val="00B056BE"/>
    <w:rsid w:val="00B0660A"/>
    <w:rsid w:val="00B10D2D"/>
    <w:rsid w:val="00B11595"/>
    <w:rsid w:val="00B171E5"/>
    <w:rsid w:val="00B32AFC"/>
    <w:rsid w:val="00B33591"/>
    <w:rsid w:val="00B33E4B"/>
    <w:rsid w:val="00B47B40"/>
    <w:rsid w:val="00B56F42"/>
    <w:rsid w:val="00B667AE"/>
    <w:rsid w:val="00B71CAF"/>
    <w:rsid w:val="00B74820"/>
    <w:rsid w:val="00B75866"/>
    <w:rsid w:val="00B7606F"/>
    <w:rsid w:val="00B77558"/>
    <w:rsid w:val="00B7758C"/>
    <w:rsid w:val="00B90476"/>
    <w:rsid w:val="00B9586A"/>
    <w:rsid w:val="00B95F80"/>
    <w:rsid w:val="00BA167E"/>
    <w:rsid w:val="00BA1778"/>
    <w:rsid w:val="00BA35B3"/>
    <w:rsid w:val="00BB6C62"/>
    <w:rsid w:val="00BB73DA"/>
    <w:rsid w:val="00BC6EC9"/>
    <w:rsid w:val="00BD3163"/>
    <w:rsid w:val="00BD6CC9"/>
    <w:rsid w:val="00BE2355"/>
    <w:rsid w:val="00BE751C"/>
    <w:rsid w:val="00BF0CE0"/>
    <w:rsid w:val="00BF1781"/>
    <w:rsid w:val="00BF24D5"/>
    <w:rsid w:val="00BF38ED"/>
    <w:rsid w:val="00BF793F"/>
    <w:rsid w:val="00C0089D"/>
    <w:rsid w:val="00C07AE1"/>
    <w:rsid w:val="00C116C8"/>
    <w:rsid w:val="00C14713"/>
    <w:rsid w:val="00C1621C"/>
    <w:rsid w:val="00C203C9"/>
    <w:rsid w:val="00C21102"/>
    <w:rsid w:val="00C22408"/>
    <w:rsid w:val="00C2351B"/>
    <w:rsid w:val="00C27A2C"/>
    <w:rsid w:val="00C30E10"/>
    <w:rsid w:val="00C32454"/>
    <w:rsid w:val="00C3535D"/>
    <w:rsid w:val="00C41B3E"/>
    <w:rsid w:val="00C45232"/>
    <w:rsid w:val="00C474B4"/>
    <w:rsid w:val="00C51F6F"/>
    <w:rsid w:val="00C55656"/>
    <w:rsid w:val="00C56028"/>
    <w:rsid w:val="00C56A40"/>
    <w:rsid w:val="00C658C4"/>
    <w:rsid w:val="00C660D0"/>
    <w:rsid w:val="00C76F40"/>
    <w:rsid w:val="00C80205"/>
    <w:rsid w:val="00C81CC0"/>
    <w:rsid w:val="00C833D0"/>
    <w:rsid w:val="00C84117"/>
    <w:rsid w:val="00C92F45"/>
    <w:rsid w:val="00C96ABC"/>
    <w:rsid w:val="00CA46B9"/>
    <w:rsid w:val="00CA4F29"/>
    <w:rsid w:val="00CA7EFD"/>
    <w:rsid w:val="00CB1E54"/>
    <w:rsid w:val="00CB2A7F"/>
    <w:rsid w:val="00CC0772"/>
    <w:rsid w:val="00CC0F59"/>
    <w:rsid w:val="00CC2958"/>
    <w:rsid w:val="00CC5656"/>
    <w:rsid w:val="00CC7DD6"/>
    <w:rsid w:val="00CD01BE"/>
    <w:rsid w:val="00CD31D2"/>
    <w:rsid w:val="00CD3678"/>
    <w:rsid w:val="00CD5965"/>
    <w:rsid w:val="00CD6624"/>
    <w:rsid w:val="00CE631B"/>
    <w:rsid w:val="00CF0A55"/>
    <w:rsid w:val="00CF3486"/>
    <w:rsid w:val="00D03F03"/>
    <w:rsid w:val="00D05C46"/>
    <w:rsid w:val="00D16D89"/>
    <w:rsid w:val="00D16DB9"/>
    <w:rsid w:val="00D21AC0"/>
    <w:rsid w:val="00D26556"/>
    <w:rsid w:val="00D30738"/>
    <w:rsid w:val="00D37261"/>
    <w:rsid w:val="00D41C51"/>
    <w:rsid w:val="00D444A1"/>
    <w:rsid w:val="00D50ABA"/>
    <w:rsid w:val="00D540C2"/>
    <w:rsid w:val="00D64063"/>
    <w:rsid w:val="00D7120F"/>
    <w:rsid w:val="00D74514"/>
    <w:rsid w:val="00D91E83"/>
    <w:rsid w:val="00D93332"/>
    <w:rsid w:val="00D93519"/>
    <w:rsid w:val="00D97DC8"/>
    <w:rsid w:val="00DA2664"/>
    <w:rsid w:val="00DE71B8"/>
    <w:rsid w:val="00E06272"/>
    <w:rsid w:val="00E110E4"/>
    <w:rsid w:val="00E21010"/>
    <w:rsid w:val="00E30FB0"/>
    <w:rsid w:val="00E341D6"/>
    <w:rsid w:val="00E34525"/>
    <w:rsid w:val="00E41CEB"/>
    <w:rsid w:val="00E56ECE"/>
    <w:rsid w:val="00E70012"/>
    <w:rsid w:val="00E739F6"/>
    <w:rsid w:val="00E77797"/>
    <w:rsid w:val="00E9181B"/>
    <w:rsid w:val="00E931E2"/>
    <w:rsid w:val="00E93251"/>
    <w:rsid w:val="00EB1ED0"/>
    <w:rsid w:val="00EB4CAE"/>
    <w:rsid w:val="00EB56A4"/>
    <w:rsid w:val="00EB6809"/>
    <w:rsid w:val="00EC0C29"/>
    <w:rsid w:val="00ED226D"/>
    <w:rsid w:val="00ED2D75"/>
    <w:rsid w:val="00ED48FB"/>
    <w:rsid w:val="00ED5D97"/>
    <w:rsid w:val="00ED7C4B"/>
    <w:rsid w:val="00EE0430"/>
    <w:rsid w:val="00EE09AB"/>
    <w:rsid w:val="00EE599C"/>
    <w:rsid w:val="00EF5B60"/>
    <w:rsid w:val="00F00A6F"/>
    <w:rsid w:val="00F035E8"/>
    <w:rsid w:val="00F04B1C"/>
    <w:rsid w:val="00F11723"/>
    <w:rsid w:val="00F12C4B"/>
    <w:rsid w:val="00F133B3"/>
    <w:rsid w:val="00F170BB"/>
    <w:rsid w:val="00F306BB"/>
    <w:rsid w:val="00F35C45"/>
    <w:rsid w:val="00F46DB4"/>
    <w:rsid w:val="00F470F5"/>
    <w:rsid w:val="00F47FA8"/>
    <w:rsid w:val="00F51196"/>
    <w:rsid w:val="00F546CA"/>
    <w:rsid w:val="00F54B33"/>
    <w:rsid w:val="00F5550B"/>
    <w:rsid w:val="00F558A8"/>
    <w:rsid w:val="00F67C2F"/>
    <w:rsid w:val="00F71E66"/>
    <w:rsid w:val="00F72B11"/>
    <w:rsid w:val="00F746B7"/>
    <w:rsid w:val="00FA136F"/>
    <w:rsid w:val="00FA2D2B"/>
    <w:rsid w:val="00FA38FA"/>
    <w:rsid w:val="00FA404F"/>
    <w:rsid w:val="00FA5597"/>
    <w:rsid w:val="00FA563E"/>
    <w:rsid w:val="00FB64C5"/>
    <w:rsid w:val="00FC25C7"/>
    <w:rsid w:val="00FC7082"/>
    <w:rsid w:val="00FD04EA"/>
    <w:rsid w:val="00FD2954"/>
    <w:rsid w:val="00FF11EA"/>
    <w:rsid w:val="00FF6F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14:docId w14:val="46122549"/>
  <w15:docId w15:val="{43618B55-E539-4184-BEA8-EFD3F09D53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8"/>
      <w:szCs w:val="28"/>
    </w:rPr>
  </w:style>
  <w:style w:type="paragraph" w:styleId="Heading1">
    <w:name w:val="heading 1"/>
    <w:basedOn w:val="Normal"/>
    <w:next w:val="Normal"/>
    <w:qFormat/>
    <w:pPr>
      <w:keepNext/>
      <w:jc w:val="center"/>
      <w:outlineLvl w:val="0"/>
    </w:pPr>
    <w:rPr>
      <w:rFonts w:ascii=".VnTime" w:hAnsi=".VnTime"/>
      <w:b/>
      <w:i/>
      <w:sz w:val="26"/>
      <w:szCs w:val="24"/>
    </w:rPr>
  </w:style>
  <w:style w:type="paragraph" w:styleId="Heading2">
    <w:name w:val="heading 2"/>
    <w:basedOn w:val="Normal"/>
    <w:next w:val="Normal"/>
    <w:qFormat/>
    <w:pPr>
      <w:autoSpaceDE w:val="0"/>
      <w:autoSpaceDN w:val="0"/>
      <w:adjustRightInd w:val="0"/>
      <w:ind w:left="238" w:hanging="238"/>
      <w:outlineLvl w:val="1"/>
    </w:pPr>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Pr>
      <w:rFonts w:ascii="Tahoma" w:hAnsi="Tahoma" w:cs="Tahoma"/>
      <w:sz w:val="16"/>
      <w:szCs w:val="16"/>
    </w:rPr>
  </w:style>
  <w:style w:type="paragraph" w:styleId="Header">
    <w:name w:val="header"/>
    <w:basedOn w:val="Normal"/>
    <w:link w:val="HeaderChar"/>
    <w:uiPriority w:val="99"/>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character" w:styleId="Hyperlink">
    <w:name w:val="Hyperlink"/>
    <w:rPr>
      <w:color w:val="0000FF"/>
      <w:u w:val="single"/>
    </w:rPr>
  </w:style>
  <w:style w:type="character" w:customStyle="1" w:styleId="FooterChar">
    <w:name w:val="Footer Char"/>
    <w:link w:val="Footer"/>
    <w:rPr>
      <w:sz w:val="28"/>
      <w:szCs w:val="28"/>
    </w:rPr>
  </w:style>
  <w:style w:type="paragraph" w:styleId="BodyText2">
    <w:name w:val="Body Text 2"/>
    <w:basedOn w:val="Normal"/>
    <w:link w:val="BodyText2Char"/>
    <w:pPr>
      <w:jc w:val="both"/>
    </w:pPr>
    <w:rPr>
      <w:rFonts w:ascii=".VnTime" w:hAnsi=".VnTime"/>
      <w:szCs w:val="24"/>
    </w:rPr>
  </w:style>
  <w:style w:type="character" w:customStyle="1" w:styleId="BodyText2Char">
    <w:name w:val="Body Text 2 Char"/>
    <w:link w:val="BodyText2"/>
    <w:rPr>
      <w:rFonts w:ascii=".VnTime" w:hAnsi=".VnTime"/>
      <w:sz w:val="28"/>
      <w:szCs w:val="24"/>
    </w:rPr>
  </w:style>
  <w:style w:type="paragraph" w:styleId="BodyTextIndent2">
    <w:name w:val="Body Text Indent 2"/>
    <w:basedOn w:val="Normal"/>
    <w:link w:val="BodyTextIndent2Char"/>
    <w:pPr>
      <w:spacing w:after="120" w:line="480" w:lineRule="auto"/>
      <w:ind w:left="360"/>
    </w:pPr>
    <w:rPr>
      <w:sz w:val="24"/>
      <w:szCs w:val="24"/>
    </w:rPr>
  </w:style>
  <w:style w:type="character" w:customStyle="1" w:styleId="BodyTextIndent2Char">
    <w:name w:val="Body Text Indent 2 Char"/>
    <w:link w:val="BodyTextIndent2"/>
    <w:rPr>
      <w:sz w:val="24"/>
      <w:szCs w:val="24"/>
    </w:rPr>
  </w:style>
  <w:style w:type="paragraph" w:styleId="BodyText">
    <w:name w:val="Body Text"/>
    <w:basedOn w:val="Normal"/>
    <w:link w:val="BodyTextChar"/>
    <w:pPr>
      <w:spacing w:after="120"/>
    </w:pPr>
  </w:style>
  <w:style w:type="character" w:customStyle="1" w:styleId="BodyTextChar">
    <w:name w:val="Body Text Char"/>
    <w:link w:val="BodyText"/>
    <w:rPr>
      <w:sz w:val="28"/>
      <w:szCs w:val="28"/>
    </w:rPr>
  </w:style>
  <w:style w:type="paragraph" w:customStyle="1" w:styleId="CharCharCharCharCharCharChar">
    <w:name w:val="Char Char Char Char Char Char Char"/>
    <w:pPr>
      <w:spacing w:after="160" w:line="240" w:lineRule="exact"/>
    </w:pPr>
    <w:rPr>
      <w:rFonts w:ascii="Verdana" w:hAnsi="Verdana"/>
    </w:rPr>
  </w:style>
  <w:style w:type="character" w:styleId="Emphasis">
    <w:name w:val="Emphasis"/>
    <w:qFormat/>
    <w:rPr>
      <w:i/>
      <w:iCs/>
    </w:rPr>
  </w:style>
  <w:style w:type="paragraph" w:customStyle="1" w:styleId="CharCharChar">
    <w:name w:val="Char Char Char"/>
    <w:basedOn w:val="Normal"/>
    <w:autoRedefine/>
    <w:pPr>
      <w:pageBreakBefore/>
      <w:tabs>
        <w:tab w:val="left" w:pos="850"/>
        <w:tab w:val="left" w:pos="1191"/>
        <w:tab w:val="left" w:pos="1531"/>
      </w:tabs>
      <w:spacing w:after="120"/>
      <w:jc w:val="center"/>
    </w:pPr>
    <w:rPr>
      <w:rFonts w:ascii="Tahoma" w:eastAsia="MS Mincho" w:hAnsi="Tahoma" w:cs="Tahoma"/>
      <w:b/>
      <w:bCs/>
      <w:color w:val="FFFFFF"/>
      <w:spacing w:val="20"/>
      <w:sz w:val="22"/>
      <w:szCs w:val="22"/>
      <w:lang w:val="en-GB" w:eastAsia="zh-CN"/>
    </w:rPr>
  </w:style>
  <w:style w:type="paragraph" w:styleId="NormalWeb">
    <w:name w:val="Normal (Web)"/>
    <w:basedOn w:val="Normal"/>
    <w:unhideWhenUsed/>
    <w:pPr>
      <w:spacing w:before="100" w:beforeAutospacing="1" w:after="100" w:afterAutospacing="1"/>
    </w:pPr>
    <w:rPr>
      <w:sz w:val="24"/>
      <w:szCs w:val="24"/>
    </w:rPr>
  </w:style>
  <w:style w:type="character" w:customStyle="1" w:styleId="apple-converted-space">
    <w:name w:val="apple-converted-space"/>
    <w:rsid w:val="003A126D"/>
  </w:style>
  <w:style w:type="paragraph" w:styleId="ListParagraph">
    <w:name w:val="List Paragraph"/>
    <w:basedOn w:val="Normal"/>
    <w:uiPriority w:val="34"/>
    <w:qFormat/>
    <w:rsid w:val="003F614B"/>
    <w:pPr>
      <w:widowControl w:val="0"/>
      <w:spacing w:before="121"/>
      <w:ind w:left="118" w:firstLine="680"/>
      <w:jc w:val="both"/>
    </w:pPr>
    <w:rPr>
      <w:sz w:val="22"/>
      <w:szCs w:val="22"/>
    </w:rPr>
  </w:style>
  <w:style w:type="paragraph" w:customStyle="1" w:styleId="TableParagraph">
    <w:name w:val="Table Paragraph"/>
    <w:basedOn w:val="Normal"/>
    <w:qFormat/>
    <w:rsid w:val="0054594D"/>
    <w:pPr>
      <w:widowControl w:val="0"/>
      <w:ind w:left="103"/>
    </w:pPr>
    <w:rPr>
      <w:sz w:val="22"/>
      <w:szCs w:val="22"/>
    </w:rPr>
  </w:style>
  <w:style w:type="character" w:customStyle="1" w:styleId="HeaderChar">
    <w:name w:val="Header Char"/>
    <w:basedOn w:val="DefaultParagraphFont"/>
    <w:link w:val="Header"/>
    <w:uiPriority w:val="99"/>
    <w:rsid w:val="00B77558"/>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88519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972</TotalTime>
  <Pages>10</Pages>
  <Words>4176</Words>
  <Characters>23807</Characters>
  <Application>Microsoft Office Word</Application>
  <DocSecurity>0</DocSecurity>
  <Lines>198</Lines>
  <Paragraphs>55</Paragraphs>
  <ScaleCrop>false</ScaleCrop>
  <HeadingPairs>
    <vt:vector size="2" baseType="variant">
      <vt:variant>
        <vt:lpstr>Title</vt:lpstr>
      </vt:variant>
      <vt:variant>
        <vt:i4>1</vt:i4>
      </vt:variant>
    </vt:vector>
  </HeadingPairs>
  <TitlesOfParts>
    <vt:vector size="1" baseType="lpstr">
      <vt:lpstr>UBND TỈNH THỪA THIÊN HUẾ              CỘNG HOÀ XÃ HỘI CHỦ NGHĨA VIỆT NAM</vt:lpstr>
    </vt:vector>
  </TitlesOfParts>
  <Company>So GD&amp;DT</Company>
  <LinksUpToDate>false</LinksUpToDate>
  <CharactersWithSpaces>27928</CharactersWithSpaces>
  <SharedDoc>false</SharedDoc>
  <HLinks>
    <vt:vector size="30" baseType="variant">
      <vt:variant>
        <vt:i4>4063353</vt:i4>
      </vt:variant>
      <vt:variant>
        <vt:i4>12</vt:i4>
      </vt:variant>
      <vt:variant>
        <vt:i4>0</vt:i4>
      </vt:variant>
      <vt:variant>
        <vt:i4>5</vt:i4>
      </vt:variant>
      <vt:variant>
        <vt:lpwstr>http://thuvienphapluat.vn/phap-luat/tim-van-ban.aspx?keyword=17/2012/TT-BGD%C4%90T&amp;area=2&amp;type=0&amp;match=False&amp;vc=True&amp;lan=1</vt:lpwstr>
      </vt:variant>
      <vt:variant>
        <vt:lpwstr/>
      </vt:variant>
      <vt:variant>
        <vt:i4>3801211</vt:i4>
      </vt:variant>
      <vt:variant>
        <vt:i4>9</vt:i4>
      </vt:variant>
      <vt:variant>
        <vt:i4>0</vt:i4>
      </vt:variant>
      <vt:variant>
        <vt:i4>5</vt:i4>
      </vt:variant>
      <vt:variant>
        <vt:lpwstr>http://thuvienphapluat.vn/phap-luat/tim-van-ban.aspx?keyword=05/2017/TT-BGD%C4%90T&amp;area=2&amp;type=0&amp;match=False&amp;vc=True&amp;lan=1</vt:lpwstr>
      </vt:variant>
      <vt:variant>
        <vt:lpwstr/>
      </vt:variant>
      <vt:variant>
        <vt:i4>3801211</vt:i4>
      </vt:variant>
      <vt:variant>
        <vt:i4>6</vt:i4>
      </vt:variant>
      <vt:variant>
        <vt:i4>0</vt:i4>
      </vt:variant>
      <vt:variant>
        <vt:i4>5</vt:i4>
      </vt:variant>
      <vt:variant>
        <vt:lpwstr>http://thuvienphapluat.vn/phap-luat/tim-van-ban.aspx?keyword=05/2017/TT-BGD%C4%90T&amp;area=2&amp;type=0&amp;match=False&amp;vc=True&amp;lan=1</vt:lpwstr>
      </vt:variant>
      <vt:variant>
        <vt:lpwstr/>
      </vt:variant>
      <vt:variant>
        <vt:i4>3801211</vt:i4>
      </vt:variant>
      <vt:variant>
        <vt:i4>3</vt:i4>
      </vt:variant>
      <vt:variant>
        <vt:i4>0</vt:i4>
      </vt:variant>
      <vt:variant>
        <vt:i4>5</vt:i4>
      </vt:variant>
      <vt:variant>
        <vt:lpwstr>http://thuvienphapluat.vn/phap-luat/tim-van-ban.aspx?keyword=05/2017/TT-BGD%C4%90T&amp;area=2&amp;type=0&amp;match=False&amp;vc=True&amp;lan=1</vt:lpwstr>
      </vt:variant>
      <vt:variant>
        <vt:lpwstr/>
      </vt:variant>
      <vt:variant>
        <vt:i4>3801210</vt:i4>
      </vt:variant>
      <vt:variant>
        <vt:i4>0</vt:i4>
      </vt:variant>
      <vt:variant>
        <vt:i4>0</vt:i4>
      </vt:variant>
      <vt:variant>
        <vt:i4>5</vt:i4>
      </vt:variant>
      <vt:variant>
        <vt:lpwstr>http://thuvienphapluat.vn/phap-luat/tim-van-ban.aspx?keyword=04/2017/TT-BGD%C4%90T&amp;area=2&amp;type=0&amp;match=False&amp;vc=True&amp;lan=1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UBND TỈNH THỪA THIÊN HUẾ              CỘNG HOÀ XÃ HỘI CHỦ NGHĨA VIỆT NAM</dc:title>
  <dc:creator>DA_ADB3</dc:creator>
  <cp:lastModifiedBy>Ton That Vien Tuong</cp:lastModifiedBy>
  <cp:revision>122</cp:revision>
  <cp:lastPrinted>2020-09-13T07:50:00Z</cp:lastPrinted>
  <dcterms:created xsi:type="dcterms:W3CDTF">2018-08-02T09:11:00Z</dcterms:created>
  <dcterms:modified xsi:type="dcterms:W3CDTF">2020-09-13T12:07:00Z</dcterms:modified>
</cp:coreProperties>
</file>